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hint="eastAsia" w:ascii="Times New Roman" w:hAnsi="Times New Roman" w:eastAsia="黑体" w:cs="Times New Roman"/>
          <w:sz w:val="32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24"/>
          <w:lang w:val="en-US" w:eastAsia="zh-CN"/>
        </w:rPr>
        <w:t xml:space="preserve">  《刑法》</w:t>
      </w:r>
      <w:r>
        <w:rPr>
          <w:rFonts w:hint="eastAsia" w:eastAsia="黑体"/>
          <w:sz w:val="32"/>
          <w:szCs w:val="24"/>
          <w:lang w:eastAsia="zh-CN"/>
        </w:rPr>
        <w:t>课程考试</w:t>
      </w:r>
      <w:r>
        <w:rPr>
          <w:rFonts w:eastAsia="黑体"/>
          <w:sz w:val="32"/>
          <w:szCs w:val="24"/>
        </w:rPr>
        <w:t>大纲</w:t>
      </w:r>
    </w:p>
    <w:p>
      <w:pPr>
        <w:ind w:firstLine="602" w:firstLineChars="200"/>
        <w:jc w:val="center"/>
        <w:rPr>
          <w:rFonts w:hint="default" w:ascii="宋体" w:hAnsi="宋体" w:eastAsia="宋体" w:cs="Times New Roman"/>
          <w:b/>
          <w:sz w:val="30"/>
          <w:szCs w:val="20"/>
          <w:lang w:val="en-US" w:eastAsia="zh-CN"/>
        </w:rPr>
      </w:pPr>
      <w:r>
        <w:rPr>
          <w:rFonts w:hint="eastAsia" w:ascii="宋体" w:hAnsi="宋体" w:eastAsia="宋体" w:cs="Times New Roman"/>
          <w:b/>
          <w:sz w:val="30"/>
          <w:szCs w:val="20"/>
          <w:lang w:val="en-US" w:eastAsia="zh-CN"/>
        </w:rPr>
        <w:t>（202</w:t>
      </w:r>
      <w:r>
        <w:rPr>
          <w:rFonts w:hint="default" w:ascii="宋体" w:hAnsi="宋体" w:eastAsia="宋体" w:cs="Times New Roman"/>
          <w:b/>
          <w:sz w:val="30"/>
          <w:szCs w:val="20"/>
          <w:lang w:val="en-US" w:eastAsia="zh-CN"/>
        </w:rPr>
        <w:t>3</w:t>
      </w:r>
      <w:r>
        <w:rPr>
          <w:rFonts w:hint="eastAsia" w:ascii="宋体" w:hAnsi="宋体" w:eastAsia="宋体" w:cs="Times New Roman"/>
          <w:b/>
          <w:sz w:val="30"/>
          <w:szCs w:val="20"/>
          <w:lang w:val="en-US" w:eastAsia="zh-CN"/>
        </w:rPr>
        <w:t>年专升本）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0" w:lineRule="atLeast"/>
        <w:ind w:left="0" w:right="0"/>
        <w:jc w:val="both"/>
        <w:rPr>
          <w:rFonts w:hint="default" w:ascii="Times New Roman" w:hAnsi="Times New Roman" w:eastAsia="宋体" w:cs="Times New Roman"/>
          <w:b/>
          <w:color w:val="000000"/>
          <w:kern w:val="2"/>
          <w:sz w:val="24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color w:val="000000"/>
          <w:kern w:val="2"/>
          <w:sz w:val="24"/>
          <w:szCs w:val="20"/>
          <w:lang w:val="en-US" w:eastAsia="zh-CN" w:bidi="ar-SA"/>
        </w:rPr>
        <w:t>适用专业：</w:t>
      </w:r>
      <w:r>
        <w:rPr>
          <w:rFonts w:hint="default" w:ascii="Times New Roman" w:hAnsi="Times New Roman" w:eastAsia="宋体" w:cs="Times New Roman"/>
          <w:b/>
          <w:color w:val="000000"/>
          <w:kern w:val="2"/>
          <w:sz w:val="24"/>
          <w:szCs w:val="20"/>
          <w:lang w:val="en-US" w:eastAsia="zh-CN" w:bidi="ar-SA"/>
        </w:rPr>
        <w:t>法学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0" w:lineRule="atLeast"/>
        <w:ind w:left="0" w:right="0"/>
        <w:jc w:val="both"/>
        <w:rPr>
          <w:rFonts w:hint="default" w:ascii="Times New Roman" w:hAnsi="Times New Roman" w:eastAsia="宋体" w:cs="Times New Roman"/>
          <w:b/>
          <w:color w:val="000000"/>
          <w:kern w:val="2"/>
          <w:sz w:val="24"/>
          <w:szCs w:val="20"/>
          <w:lang w:val="en-US" w:eastAsia="zh-CN" w:bidi="ar-SA"/>
        </w:rPr>
      </w:pPr>
    </w:p>
    <w:p>
      <w:pPr>
        <w:spacing w:line="360" w:lineRule="exact"/>
        <w:ind w:firstLine="446" w:firstLineChars="186"/>
        <w:rPr>
          <w:szCs w:val="21"/>
        </w:rPr>
      </w:pPr>
      <w:r>
        <w:rPr>
          <w:rFonts w:eastAsia="黑体"/>
          <w:sz w:val="24"/>
          <w:szCs w:val="24"/>
        </w:rPr>
        <w:t>一、</w:t>
      </w:r>
      <w:r>
        <w:rPr>
          <w:rFonts w:hint="eastAsia" w:eastAsia="黑体"/>
          <w:sz w:val="24"/>
          <w:szCs w:val="24"/>
          <w:lang w:eastAsia="zh-CN"/>
        </w:rPr>
        <w:t>考试</w:t>
      </w:r>
      <w:r>
        <w:rPr>
          <w:rFonts w:eastAsia="黑体"/>
          <w:sz w:val="24"/>
          <w:szCs w:val="24"/>
        </w:rPr>
        <w:t>要求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本课程的考核目的是</w:t>
      </w:r>
      <w:r>
        <w:rPr>
          <w:rFonts w:hint="default" w:ascii="Times New Roman" w:hAnsi="Times New Roman" w:eastAsia="宋体" w:cs="Times New Roman"/>
          <w:sz w:val="24"/>
          <w:szCs w:val="24"/>
          <w:lang w:val="en-US"/>
        </w:rPr>
        <w:t>检查</w:t>
      </w:r>
      <w:r>
        <w:rPr>
          <w:rFonts w:hint="eastAsia" w:ascii="Times New Roman" w:hAnsi="Times New Roman" w:eastAsia="宋体" w:cs="Times New Roman"/>
          <w:sz w:val="24"/>
          <w:szCs w:val="24"/>
        </w:rPr>
        <w:t>学生对</w:t>
      </w:r>
      <w:r>
        <w:rPr>
          <w:rFonts w:hint="default" w:ascii="Times New Roman" w:hAnsi="Times New Roman" w:eastAsia="宋体" w:cs="Times New Roman"/>
          <w:sz w:val="24"/>
          <w:szCs w:val="24"/>
          <w:lang w:val="en-US"/>
        </w:rPr>
        <w:t>刑法基础知识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基本理论</w:t>
      </w:r>
      <w:r>
        <w:rPr>
          <w:rFonts w:hint="default" w:ascii="Times New Roman" w:hAnsi="Times New Roman" w:eastAsia="宋体" w:cs="Times New Roman"/>
          <w:sz w:val="24"/>
          <w:szCs w:val="24"/>
          <w:lang w:val="en-US"/>
        </w:rPr>
        <w:t>和基本应用方法</w:t>
      </w:r>
      <w:r>
        <w:rPr>
          <w:rFonts w:hint="eastAsia" w:ascii="Times New Roman" w:hAnsi="Times New Roman" w:eastAsia="宋体" w:cs="Times New Roman"/>
          <w:sz w:val="24"/>
          <w:szCs w:val="24"/>
        </w:rPr>
        <w:t>的掌握情况。本课程考试要求基础知识和基础理论</w:t>
      </w:r>
      <w:r>
        <w:rPr>
          <w:rFonts w:hint="default" w:ascii="Times New Roman" w:hAnsi="Times New Roman" w:eastAsia="宋体" w:cs="Times New Roman"/>
          <w:sz w:val="24"/>
          <w:szCs w:val="24"/>
          <w:lang w:val="en-US"/>
        </w:rPr>
        <w:t>分值</w:t>
      </w:r>
      <w:r>
        <w:rPr>
          <w:rFonts w:hint="eastAsia" w:ascii="Times New Roman" w:hAnsi="Times New Roman" w:eastAsia="宋体" w:cs="Times New Roman"/>
          <w:sz w:val="24"/>
          <w:szCs w:val="24"/>
        </w:rPr>
        <w:t>占70%，应用能力</w:t>
      </w:r>
      <w:r>
        <w:rPr>
          <w:rFonts w:hint="default" w:ascii="Times New Roman" w:hAnsi="Times New Roman" w:eastAsia="宋体" w:cs="Times New Roman"/>
          <w:sz w:val="24"/>
          <w:szCs w:val="24"/>
          <w:lang w:val="en-US"/>
        </w:rPr>
        <w:t>分值</w:t>
      </w:r>
      <w:r>
        <w:rPr>
          <w:rFonts w:hint="eastAsia" w:ascii="Times New Roman" w:hAnsi="Times New Roman" w:eastAsia="宋体" w:cs="Times New Roman"/>
          <w:sz w:val="24"/>
          <w:szCs w:val="24"/>
        </w:rPr>
        <w:t>占30%，考查面覆盖考试章节的60%以上。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spacing w:line="360" w:lineRule="exact"/>
        <w:ind w:firstLine="480" w:firstLineChars="200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>二、</w:t>
      </w:r>
      <w:r>
        <w:rPr>
          <w:rFonts w:hint="eastAsia" w:eastAsia="黑体"/>
          <w:sz w:val="24"/>
          <w:szCs w:val="24"/>
          <w:lang w:eastAsia="zh-CN"/>
        </w:rPr>
        <w:t>考试</w:t>
      </w:r>
      <w:r>
        <w:rPr>
          <w:rFonts w:eastAsia="黑体"/>
          <w:sz w:val="24"/>
          <w:szCs w:val="24"/>
        </w:rPr>
        <w:t>内容</w:t>
      </w:r>
    </w:p>
    <w:p>
      <w:pPr>
        <w:numPr>
          <w:ilvl w:val="0"/>
          <w:numId w:val="0"/>
        </w:numPr>
        <w:spacing w:line="360" w:lineRule="exact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第一章 刑法概说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（一） 基本概念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刑法 普通刑法 特别刑法 刑法的解释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（二） 基本理论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1、刑法的概念和性质。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2、刑法的创制和完善。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3、刑法的根据和任务。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4、刑法的体系和解释。</w:t>
      </w:r>
    </w:p>
    <w:p>
      <w:pPr>
        <w:numPr>
          <w:ilvl w:val="0"/>
          <w:numId w:val="0"/>
        </w:numPr>
        <w:spacing w:line="360" w:lineRule="exact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第二章 刑法的基本原则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（一） 基本概念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刑法法定原则 罪责刑相适应原则 适用刑法人人平等原则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（二） 基本理论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1、罪刑法定原则的立法体现与司法适用。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2、刑法面前人人平等原则的立法与司法适用。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3、罪刑相适应原则的立法体现与司法适用。</w:t>
      </w:r>
    </w:p>
    <w:p>
      <w:pPr>
        <w:numPr>
          <w:ilvl w:val="0"/>
          <w:numId w:val="0"/>
        </w:numPr>
        <w:spacing w:line="360" w:lineRule="exact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第三章 刑法的效力范围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（一） 基本概念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空间效力 属地主义 属人主义 保护主义 世界主义 时间效力 从旧兼从轻原则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（二） 基本原则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1、我国刑法空间效力的具体规定。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2、犯罪地与犯罪时间的确定。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3、我国刑法对国内犯、国外犯的适用原则。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4、刑法效力从旧兼从轻原则的理解与运用。</w:t>
      </w:r>
    </w:p>
    <w:p>
      <w:pPr>
        <w:numPr>
          <w:ilvl w:val="0"/>
          <w:numId w:val="0"/>
        </w:numPr>
        <w:spacing w:line="360" w:lineRule="exact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第四章 犯罪概念与犯罪构成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（一） 基本概念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犯罪 严重的社会危害性 刑事违法性 应受刑罚处罚性犯罪构成 犯罪构成的特征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（二） 基本理论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1、马克思主义关于犯罪本质的论述。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2、犯罪的形式定义和实质定义。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3、我国刑法中犯罪的一般特征。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4、犯罪构成的概念和特征。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5、犯罪构成的共同要件。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6、研究犯罪构成的意义。</w:t>
      </w:r>
    </w:p>
    <w:p>
      <w:pPr>
        <w:numPr>
          <w:ilvl w:val="0"/>
          <w:numId w:val="0"/>
        </w:numPr>
        <w:spacing w:line="360" w:lineRule="exact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第五章 犯罪客体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（一） 基本概念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犯罪客体 犯罪一般客体 犯罪的同类客体 犯罪的直接客体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（二） 基本理论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1、研究犯罪客体的意义。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2、犯罪客体的分类。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3、犯罪直接客体的分类。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4、犯罪对象的概念。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5、犯罪对象与犯罪客体的联系与区别。</w:t>
      </w:r>
    </w:p>
    <w:p>
      <w:pPr>
        <w:numPr>
          <w:ilvl w:val="0"/>
          <w:numId w:val="0"/>
        </w:numPr>
        <w:spacing w:line="360" w:lineRule="exact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第六章 犯罪客观方面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（一） 基本概念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犯罪客观方面 危害行为 作为 不作为 持有 危害结果 刑法中的因果关系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（二） 基本理论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1、犯罪客观方面的概念与基本特征。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2、危害行为的基本形态。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3、危害结果的基本形态、特征、意义。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4、刑法中的因果关系的特点、认定。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5、犯罪的时间、地点、方法对定罪量刑的意义。</w:t>
      </w:r>
    </w:p>
    <w:p>
      <w:pPr>
        <w:numPr>
          <w:ilvl w:val="0"/>
          <w:numId w:val="0"/>
        </w:numPr>
        <w:spacing w:line="360" w:lineRule="exact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第七章 犯罪主体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（一） 基本概念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犯罪主体 刑事责任能力 刑事责任年龄 单位犯罪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（二） 基本理论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1、犯罪主体的实质及意义。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2、决定自然人刑事责任能力的条件。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3、单位犯罪及单位犯罪主体的认定。</w:t>
      </w:r>
    </w:p>
    <w:p>
      <w:pPr>
        <w:numPr>
          <w:ilvl w:val="0"/>
          <w:numId w:val="0"/>
        </w:numPr>
        <w:spacing w:line="360" w:lineRule="exact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第八章 犯罪主观方面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（一） 基本概念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犯罪主观要件 犯罪故意 犯罪过失 犯罪目的 不可抗力 意外事件 期待可能性 严格责任 刑法上的认识错误 法律认识错误 事实认识错误 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（二） 基本理论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1、犯罪主观要件的特点。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2、犯罪故意的内容、直接故意和间接故意的区别。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3、犯罪过失的内容、疏忽大意的过失和过于自信的过失的区别。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4、意外事件的特征、意外事件和疏忽大意的过失的区别。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5、犯罪目的和犯罪动机之间的关系。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6、刑法上的认识错误对刑事责任的影响。</w:t>
      </w:r>
    </w:p>
    <w:p>
      <w:pPr>
        <w:numPr>
          <w:ilvl w:val="0"/>
          <w:numId w:val="0"/>
        </w:numPr>
        <w:spacing w:line="360" w:lineRule="exact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第九章 正当行为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（一） 基本概念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正当防卫 紧急避险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（二） 基本理论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1、正当防卫成立的条件。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2、防卫过当及其刑事责任。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3、紧急避险成立的条件。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4、避险过当及其刑事责任。</w:t>
      </w:r>
    </w:p>
    <w:p>
      <w:pPr>
        <w:numPr>
          <w:ilvl w:val="0"/>
          <w:numId w:val="0"/>
        </w:numPr>
        <w:spacing w:line="360" w:lineRule="exact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第十章 故意犯罪的停止形态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（一） 基本概念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犯罪既遂 犯罪预备 犯罪未遂 犯罪中止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（二） 基本理论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 故意犯罪停止形态存在的范围。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 犯罪既遂的类型。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3、 犯罪预备的特征以及预备行为的表现形式。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4、犯罪未遂的特征以及未遂的种类。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5、犯罪中止的特征以及中止的范围和种类。</w:t>
      </w:r>
    </w:p>
    <w:p>
      <w:pPr>
        <w:numPr>
          <w:ilvl w:val="0"/>
          <w:numId w:val="0"/>
        </w:numPr>
        <w:spacing w:line="360" w:lineRule="exact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第十一章 共同犯罪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（一） 基本概念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共同犯罪 主犯 从犯 胁从犯 教唆犯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（二） 基本理论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1、共同犯罪的成立条件。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2、不成立共同犯罪的情况。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3、共同犯罪的形式、分类标准和分类意义。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4、共同犯罪人划分的标准以及各共同犯罪人负刑事责任的原则。</w:t>
      </w:r>
    </w:p>
    <w:p>
      <w:pPr>
        <w:numPr>
          <w:ilvl w:val="0"/>
          <w:numId w:val="0"/>
        </w:numPr>
        <w:spacing w:line="360" w:lineRule="exact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第十二章 罪数形态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（一） 基本概念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继续犯 想象竞合犯 法条竞合 结果加重犯 惯犯 结合犯 连续犯 牵连犯 吸收犯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（二） 基本理论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1、区分一罪与数罪的标准。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2、法定的一罪。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3、实质的一罪。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4、处断的一罪，</w:t>
      </w:r>
    </w:p>
    <w:p>
      <w:pPr>
        <w:numPr>
          <w:ilvl w:val="0"/>
          <w:numId w:val="0"/>
        </w:numPr>
        <w:spacing w:line="360" w:lineRule="exact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第十三章 刑事责任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（一） 基本概念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刑事责任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（二） 基本理论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1、刑事责任的特征、地位和功能。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2、刑事责任的根据。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3、刑事责任的发展阶段。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4、刑事责任实现的方式。</w:t>
      </w:r>
    </w:p>
    <w:p>
      <w:pPr>
        <w:numPr>
          <w:ilvl w:val="0"/>
          <w:numId w:val="0"/>
        </w:numPr>
        <w:spacing w:line="360" w:lineRule="exact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第十四章 刑罚概说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（一） 基本概念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刑罚 刑罚的功能 刑罚的目的 一般预防 特殊预防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（二） 基本理论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1、刑罚与其他法律制裁手段的关系。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2、刑罚权的内容和根据。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3、刑罚的功能。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4、刑罚的目的。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5、特殊预防和一般预防的关系。</w:t>
      </w:r>
    </w:p>
    <w:p>
      <w:pPr>
        <w:numPr>
          <w:ilvl w:val="0"/>
          <w:numId w:val="0"/>
        </w:numPr>
        <w:spacing w:line="360" w:lineRule="exact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第十五章 刑罚体系和种类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（一） 基本概念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刑罚 主刑 附加刑 管制 拘役 有期徒刑 无期徒刑 死刑 罚金 剥夺政治权利 没收财产 驱逐出境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（二） 基本理论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1、我国的刑罚体系。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2、管制的期限和特点。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3、拘役的期限及刑期折抵。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4、有期徒刑的期限和特点。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5、无期徒刑的特点。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6、死刑的适用对象、死刑核准、死刑缓期执行。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7、罚金的适用方式、数额、司法确定、缴纳。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8、剥夺政治权利适用方式、对象、期限及其效力。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9、没收财产的适用方式、范围、执行。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10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、</w:t>
      </w:r>
      <w:r>
        <w:rPr>
          <w:rFonts w:hint="eastAsia" w:ascii="Times New Roman" w:hAnsi="Times New Roman" w:eastAsia="宋体" w:cs="Times New Roman"/>
          <w:sz w:val="24"/>
          <w:szCs w:val="24"/>
        </w:rPr>
        <w:t>我国刑法的非刑罚处理方法的种类和适用条件。</w:t>
      </w:r>
    </w:p>
    <w:p>
      <w:pPr>
        <w:numPr>
          <w:ilvl w:val="0"/>
          <w:numId w:val="0"/>
        </w:numPr>
        <w:spacing w:line="360" w:lineRule="exact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第十六章 刑罚裁量制度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（一） 基本概念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累犯 自首 立功 数罪并罚 缓刑 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（一） 基本理论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1、累犯的分类和构成条件、刑事责任。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2、自首的种类及其成立条件、刑事责任。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3、立功的种类和表现形式、刑事责任。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4、数罪并罚的原则。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5、适用数罪并罚的不同情况。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6、一般缓刑的适用条件。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（三）刑罚执行 减刑 假释基本概念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1、刑罚执行的原则。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2、减刑的条件、限度和幅度、程序。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3、假释的适用条件、法律后果。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(四） 刑罚的消灭基本概念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1、刑罚消灭的法定原因。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2、追诉期限的起算。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3、追诉时效的中断与延长的条件。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4、赦免与我国的赦免制度。</w:t>
      </w:r>
    </w:p>
    <w:p>
      <w:pPr>
        <w:numPr>
          <w:ilvl w:val="0"/>
          <w:numId w:val="0"/>
        </w:numPr>
        <w:spacing w:line="360" w:lineRule="exact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第十七章 刑法各论概述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（一） 基本概念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罪名 罪状 法定刑 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（二） 基本理论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1、刑法分论与总论的关系、分论的体系特点。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2、具体罪状内容的确定。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3、法定刑与宣告刑、执行刑的关系。</w:t>
      </w:r>
    </w:p>
    <w:p>
      <w:pPr>
        <w:numPr>
          <w:ilvl w:val="0"/>
          <w:numId w:val="0"/>
        </w:numPr>
        <w:spacing w:line="360" w:lineRule="exact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第十八章 危害国家安全罪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（一） 基本概念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危害国家安全罪 背叛国家罪 叛逃罪 间谍罪 为境外窃取、刺探、收买、非法提供国家秘密、情报罪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（二） 基本理论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1、危害国家安全罪的构成。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2、分裂国家罪的基本特征。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3、武装叛乱、暴乱罪的构成。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4、间谍罪的几种行为方式。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5、为境外窃取、刺探、收买、非法提供国家秘密、情报罪的构成。</w:t>
      </w:r>
    </w:p>
    <w:p>
      <w:pPr>
        <w:numPr>
          <w:ilvl w:val="0"/>
          <w:numId w:val="0"/>
        </w:numPr>
        <w:spacing w:line="360" w:lineRule="exact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第十九章 危害公共安全罪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（一） 基本概念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危害公共安全罪 放火罪 投放危险物质罪 破坏交通工具罪 组织、领导、参加恐怖组织罪 非法制造、买卖、运输、邮寄、储存枪支、弹药、爆炸物罪 交通肇事罪 重大责任事故罪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（二） 基本理论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1、危害公共安全罪的本质特征。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2、放火等以危险方法危害公共安全的犯罪的特征及与相近犯罪的区别。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3、破坏公共设备、设施等特定对象危害公共安全犯罪的概念和特征。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4、违反枪支、弹药、爆炸物及危险物质管理犯罪的种类及与相近犯罪的区别。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5、破坏交通工具罪的构成和认定。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6、组织、领导、参加恐怖组织罪的构成和认定。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7、交通肇事罪的构成和认定。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8、重大责任事故罪的构成和认定。</w:t>
      </w:r>
    </w:p>
    <w:p>
      <w:pPr>
        <w:numPr>
          <w:ilvl w:val="0"/>
          <w:numId w:val="0"/>
        </w:numPr>
        <w:spacing w:line="360" w:lineRule="exact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第二十章 破坏社会主义市场经济秩序罪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（一） 基本概念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生产、销售伪劣产品罪，走私罪，内幕交易、泄露内幕信息罪，洗钱罪，集资诈骗罪，贷款诈骗罪，虚报注册资本罪，公司、企业人员受贿罪，偷税罪，骗取出口退税罪，虚开增值税专用发票、用于骗取出口退税、抵扣税款发票罪，合同诈骗罪，信用卡诈骗罪，保险诈骗罪，侵犯商业秘密罪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（二） 基本理论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1、破坏社会主义市场经济秩序罪的概念和共同特征。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2、各种生产、销售伪劣产品罪的认定标准及法律适用原则。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3、各种走私罪的概念及认定本类犯罪应当注意的共同问题。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4、内幕交易、泄露内幕信息罪及认定时应当注意的有关问题。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5、洗钱罪的特征及认定。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6、集资诈骗罪，贷款诈骗罪，信用卡诈骗罪，保险诈骗罪的特征及认定。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7、假冒注册商标罪，假冒专利罪，侵犯著作权罪，侵犯商业秘密罪的特征及认定。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8、公司、企业人员受贿罪的特征及认定。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9、偷税罪及虚开增值税专用发票、用于骗取出口退税、抵扣税款发票罪的特征及认定。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10、虚假广告罪，合同诈骗罪的特征和认定。</w:t>
      </w:r>
    </w:p>
    <w:p>
      <w:pPr>
        <w:numPr>
          <w:ilvl w:val="0"/>
          <w:numId w:val="0"/>
        </w:numPr>
        <w:spacing w:line="360" w:lineRule="exact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第二十一章 侵犯公民人身权利、民主权利罪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（一） 基本概念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侵犯公民人身权利、民主权利罪，故意杀人罪，故意伤害罪，强奸罪，刑讯逼供罪，拐卖妇女、儿童罪。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（二） 基本理论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1、侵犯公民人身权利、民主权利罪的特征。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2、故意杀人罪，故意伤害罪的特征及其司法适用。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3、强奸罪的特征及其司法适用。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4、强制猥亵、侮辱妇女罪的特征及其司法适用。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5、非法拘禁罪，绑架罪的特征及其司法适用。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6、拐卖妇女、儿童罪的特征及其司法适用。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7、刑讯逼供罪的特征及其司法适用。</w:t>
      </w:r>
    </w:p>
    <w:p>
      <w:pPr>
        <w:numPr>
          <w:ilvl w:val="0"/>
          <w:numId w:val="0"/>
        </w:numPr>
        <w:spacing w:line="360" w:lineRule="exact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第二十二章 侵犯财产罪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（一） 基本概念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抢劫罪，抢夺罪，盗窃罪，诈骗罪，侵占罪，职务侵占罪，敲诈勒索罪，挪用资金罪。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（二） 基本理论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1、抢劫罪的构成与认定。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2、盗窃罪的构成与认定。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3、诈骗罪的构成与认定。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4、抢夺罪的构成与认定及与抢劫罪的区别，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5、挪用资金罪的构成与认定。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6、侵占罪，职务侵占罪的区别。</w:t>
      </w:r>
    </w:p>
    <w:p>
      <w:pPr>
        <w:numPr>
          <w:ilvl w:val="0"/>
          <w:numId w:val="0"/>
        </w:numPr>
        <w:spacing w:line="360" w:lineRule="exact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第二十三章 妨害社会管理秩序罪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（一） 基本概念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妨害公务罪，招摇撞骗罪，组织、领导、参加黑社会性质组织罪，煽动暴力抗拒法律实施罪，非法获取国家秘密罪，寻衅滋事罪，侮辱国旗、国徽罪，盗窃、侮辱尸体罪，伪证罪，重大环境污染事故罪，妨害传染病防治罪，脱逃罪，走私、贩卖、运输、制造毒品罪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（二） 基本理论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1、各种扰乱公共秩序罪的特征及认定。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2、各种妨害司法罪的特征及认定。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3、各种以毒品为对象的犯罪的特征及认定。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4、非法行医罪，盗伐林木罪，传播淫秽物品罪的特征及认定，</w:t>
      </w:r>
    </w:p>
    <w:p>
      <w:pPr>
        <w:numPr>
          <w:ilvl w:val="0"/>
          <w:numId w:val="0"/>
        </w:numPr>
        <w:spacing w:line="360" w:lineRule="exact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第二十四章 危害国防利益罪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（一） 基本概念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阻碍军人执行职务罪，冒充军人招摇撞骗罪，破坏武器装备、军事设施、军事通信罪，战时拒绝、逃避征召军事训练罪，战时拒绝、逃避服役罪。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（二） 基本理论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1、危害国防利益罪的概念和一般特征。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2、阻碍军人执行职务罪的构成特征。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3、破坏武器装备、军事设施、军事通信罪的构成特征。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4、冒充军人招摇撞骗罪的构成特征。</w:t>
      </w:r>
    </w:p>
    <w:p>
      <w:pPr>
        <w:numPr>
          <w:ilvl w:val="0"/>
          <w:numId w:val="0"/>
        </w:numPr>
        <w:spacing w:line="360" w:lineRule="exact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第二十五章 贪污贿赂罪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（一） 基本概念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贪污罪，受贿罪，挪用公款罪，巨额财产来源不明罪，介绍贿赂罪。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（二） 基本理论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1、贪污罪的特征和认定。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2、受贿罪的特征和认定。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3、挪用公款罪的特征和认定。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4、行贿罪的特征和认定。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5、巨额财产来源不明罪的特征和认定。</w:t>
      </w:r>
    </w:p>
    <w:p>
      <w:pPr>
        <w:numPr>
          <w:ilvl w:val="0"/>
          <w:numId w:val="0"/>
        </w:numPr>
        <w:spacing w:line="360" w:lineRule="exact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第二十六章 渎职罪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（一） 基本概念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渎职罪，滥用职权罪，玩忽职守罪，故意泄露国家秘密罪，徇私枉法罪，民事、行政枉法裁判罪。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（二） 基本理论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1、渎职罪的一般特征。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2、滥用职权罪的特征和认定。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3、玩忽职守罪的特征和认定。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4、故意泄露国家秘密罪的特征和认定。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5、徇私枉法罪的特征和认定。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6、民事、行政枉法裁判罪的特征和认定。</w:t>
      </w:r>
    </w:p>
    <w:p>
      <w:pPr>
        <w:numPr>
          <w:ilvl w:val="0"/>
          <w:numId w:val="0"/>
        </w:numPr>
        <w:spacing w:line="360" w:lineRule="exact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第二十七章 军人违反职责罪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（一） 基本概念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军人违反职责罪，战时临阵脱逃罪，武器装备肇事罪，军人叛逃罪，逃离部队罪。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（二） 基本理论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1、军人违反职责罪的共同特征。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2、军人叛逃罪，逃离部队罪的特征。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3、战时临阵脱逃罪的特征。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4、武器装备肇事罪的特征。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5、虐待部属罪的特征。</w:t>
      </w:r>
    </w:p>
    <w:p>
      <w:pPr>
        <w:numPr>
          <w:ilvl w:val="0"/>
          <w:numId w:val="0"/>
        </w:numPr>
        <w:spacing w:line="360" w:lineRule="exact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numPr>
          <w:ilvl w:val="0"/>
          <w:numId w:val="1"/>
        </w:numPr>
        <w:spacing w:line="360" w:lineRule="exact"/>
        <w:ind w:firstLine="480" w:firstLineChars="200"/>
        <w:rPr>
          <w:rFonts w:eastAsia="黑体"/>
          <w:sz w:val="24"/>
          <w:szCs w:val="24"/>
        </w:rPr>
      </w:pPr>
      <w:r>
        <w:rPr>
          <w:rFonts w:hint="eastAsia" w:eastAsia="黑体"/>
          <w:sz w:val="24"/>
          <w:szCs w:val="24"/>
          <w:lang w:eastAsia="zh-CN"/>
        </w:rPr>
        <w:t>考试</w:t>
      </w:r>
      <w:r>
        <w:rPr>
          <w:rFonts w:eastAsia="黑体"/>
          <w:sz w:val="24"/>
          <w:szCs w:val="24"/>
        </w:rPr>
        <w:t>方式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rFonts w:hint="eastAsia"/>
          <w:sz w:val="24"/>
          <w:szCs w:val="24"/>
          <w:lang w:eastAsia="zh-CN"/>
        </w:rPr>
        <w:t>考试</w:t>
      </w:r>
      <w:r>
        <w:rPr>
          <w:sz w:val="24"/>
          <w:szCs w:val="24"/>
        </w:rPr>
        <w:t>类别：闭卷考试</w:t>
      </w:r>
    </w:p>
    <w:p>
      <w:pPr>
        <w:spacing w:line="360" w:lineRule="exact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2. 记分方式：百分制，满分为100分</w:t>
      </w:r>
    </w:p>
    <w:p>
      <w:pPr>
        <w:spacing w:line="360" w:lineRule="exact"/>
        <w:ind w:firstLine="480" w:firstLineChars="200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3. </w:t>
      </w:r>
      <w:r>
        <w:rPr>
          <w:rFonts w:hint="eastAsia"/>
          <w:color w:val="auto"/>
          <w:sz w:val="24"/>
          <w:szCs w:val="24"/>
          <w:lang w:eastAsia="zh-CN"/>
        </w:rPr>
        <w:t>考试</w:t>
      </w:r>
      <w:r>
        <w:rPr>
          <w:color w:val="auto"/>
          <w:sz w:val="24"/>
          <w:szCs w:val="24"/>
        </w:rPr>
        <w:t>时量：</w:t>
      </w:r>
      <w:r>
        <w:rPr>
          <w:rFonts w:hint="eastAsia"/>
          <w:color w:val="auto"/>
          <w:sz w:val="24"/>
          <w:szCs w:val="24"/>
          <w:lang w:val="en-US" w:eastAsia="zh-CN"/>
        </w:rPr>
        <w:t>90</w:t>
      </w:r>
      <w:r>
        <w:rPr>
          <w:color w:val="auto"/>
          <w:sz w:val="24"/>
          <w:szCs w:val="24"/>
        </w:rPr>
        <w:t>分钟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tLeast"/>
        <w:ind w:right="0" w:firstLine="480" w:firstLineChars="200"/>
        <w:jc w:val="both"/>
        <w:rPr>
          <w:rFonts w:hint="eastAsia" w:ascii="Times New Roman" w:hAnsi="Times New Roman" w:eastAsia="宋体" w:cs="Times New Roman"/>
          <w:b/>
          <w:color w:val="000000"/>
          <w:kern w:val="2"/>
          <w:sz w:val="24"/>
          <w:szCs w:val="20"/>
          <w:lang w:val="en-US" w:eastAsia="zh-CN" w:bidi="ar-SA"/>
        </w:rPr>
      </w:pPr>
      <w:r>
        <w:rPr>
          <w:sz w:val="24"/>
          <w:szCs w:val="24"/>
        </w:rPr>
        <w:t>4. 题目类型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tLeast"/>
        <w:ind w:right="0" w:firstLine="480" w:firstLineChars="20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</w:t>
      </w:r>
      <w:r>
        <w:rPr>
          <w:rFonts w:hint="default" w:ascii="Times New Roman" w:hAnsi="Times New Roman" w:eastAsia="微软雅黑" w:cs="Times New Roman"/>
          <w:color w:val="000000"/>
          <w:sz w:val="24"/>
          <w:szCs w:val="24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）选择题（约30分）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tLeast"/>
        <w:ind w:left="0" w:right="0" w:firstLine="48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</w:t>
      </w:r>
      <w:r>
        <w:rPr>
          <w:rFonts w:hint="default" w:ascii="Times New Roman" w:hAnsi="Times New Roman" w:eastAsia="微软雅黑" w:cs="Times New Roman"/>
          <w:color w:val="000000"/>
          <w:sz w:val="24"/>
          <w:szCs w:val="24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）名词解释（约15分）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tLeast"/>
        <w:ind w:left="0" w:right="0" w:firstLine="480"/>
        <w:jc w:val="both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</w:t>
      </w:r>
      <w:r>
        <w:rPr>
          <w:rFonts w:hint="default" w:ascii="Times New Roman" w:hAnsi="Times New Roman" w:eastAsia="微软雅黑" w:cs="Times New Roman"/>
          <w:color w:val="000000"/>
          <w:sz w:val="24"/>
          <w:szCs w:val="24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）简答题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（</w:t>
      </w: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约25分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）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tLeast"/>
        <w:ind w:left="0" w:right="0" w:firstLine="48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（</w:t>
      </w: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案例分析题（约</w:t>
      </w:r>
      <w:r>
        <w:rPr>
          <w:rFonts w:hint="default" w:ascii="宋体" w:hAnsi="宋体" w:eastAsia="宋体" w:cs="宋体"/>
          <w:color w:val="000000"/>
          <w:sz w:val="24"/>
          <w:szCs w:val="24"/>
          <w:lang w:val="en-US"/>
        </w:rPr>
        <w:t>30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分）</w:t>
      </w:r>
    </w:p>
    <w:p>
      <w:pPr>
        <w:spacing w:line="360" w:lineRule="exact"/>
        <w:ind w:firstLine="480" w:firstLineChars="200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>四、教材及参考书目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tLeast"/>
        <w:ind w:left="0" w:right="0" w:firstLine="480" w:firstLineChars="200"/>
        <w:jc w:val="both"/>
        <w:rPr>
          <w:sz w:val="24"/>
          <w:szCs w:val="24"/>
        </w:rPr>
      </w:pPr>
      <w:bookmarkStart w:id="0" w:name="_Toc326587665"/>
      <w:bookmarkStart w:id="1" w:name="_Toc137453853"/>
      <w:r>
        <w:rPr>
          <w:sz w:val="24"/>
          <w:szCs w:val="24"/>
        </w:rPr>
        <w:t>教材：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黄京平</w:t>
      </w:r>
      <w:r>
        <w:rPr>
          <w:rFonts w:hint="default" w:ascii="宋体" w:hAnsi="宋体" w:eastAsia="宋体" w:cs="宋体"/>
          <w:color w:val="000000"/>
          <w:sz w:val="24"/>
          <w:szCs w:val="24"/>
          <w:lang w:val="en-US"/>
        </w:rPr>
        <w:t>主编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，刑法（第</w:t>
      </w:r>
      <w:r>
        <w:rPr>
          <w:rFonts w:hint="default" w:ascii="宋体" w:hAnsi="宋体" w:eastAsia="宋体" w:cs="宋体"/>
          <w:color w:val="000000"/>
          <w:sz w:val="24"/>
          <w:szCs w:val="24"/>
          <w:lang w:val="en-US"/>
        </w:rPr>
        <w:t>八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版），中国人民大学出版社，202</w:t>
      </w:r>
      <w:r>
        <w:rPr>
          <w:rFonts w:hint="default" w:ascii="宋体" w:hAnsi="宋体" w:eastAsia="宋体" w:cs="宋体"/>
          <w:color w:val="000000"/>
          <w:sz w:val="24"/>
          <w:szCs w:val="24"/>
          <w:lang w:val="en-US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年版</w:t>
      </w:r>
    </w:p>
    <w:p>
      <w:pPr>
        <w:spacing w:line="360" w:lineRule="exact"/>
        <w:ind w:firstLine="480" w:firstLineChars="200"/>
      </w:pPr>
      <w:r>
        <w:rPr>
          <w:sz w:val="24"/>
          <w:szCs w:val="24"/>
        </w:rPr>
        <w:t>参考书目：</w:t>
      </w:r>
      <w:r>
        <w:rPr>
          <w:rFonts w:hint="eastAsia"/>
          <w:sz w:val="24"/>
          <w:szCs w:val="24"/>
          <w:lang w:eastAsia="zh-CN"/>
        </w:rPr>
        <w:t>无</w:t>
      </w:r>
      <w:bookmarkEnd w:id="0"/>
      <w:bookmarkEnd w:id="1"/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dlY2UwODBjNmJhMGUwNmZhNDMwMmQxNGY0ZTg4MDUifQ=="/>
  </w:docVars>
  <w:rsids>
    <w:rsidRoot w:val="00000000"/>
    <w:rsid w:val="32915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/>
    </w:rPr>
  </w:style>
  <w:style w:type="character" w:styleId="5">
    <w:name w:val="FollowedHyperlink"/>
    <w:basedOn w:val="4"/>
    <w:qFormat/>
    <w:uiPriority w:val="0"/>
    <w:rPr>
      <w:color w:val="454545"/>
      <w:u w:val="none"/>
    </w:rPr>
  </w:style>
  <w:style w:type="character" w:styleId="6">
    <w:name w:val="Hyperlink"/>
    <w:basedOn w:val="4"/>
    <w:qFormat/>
    <w:uiPriority w:val="0"/>
    <w:rPr>
      <w:color w:val="454545"/>
      <w:u w:val="none"/>
    </w:rPr>
  </w:style>
  <w:style w:type="character" w:customStyle="1" w:styleId="7">
    <w:name w:val="two"/>
    <w:basedOn w:val="4"/>
    <w:qFormat/>
    <w:uiPriority w:val="0"/>
    <w:rPr>
      <w:rFonts w:ascii="Arial" w:hAnsi="Arial" w:cs="Arial"/>
      <w:b/>
      <w:bCs/>
    </w:rPr>
  </w:style>
  <w:style w:type="character" w:customStyle="1" w:styleId="8">
    <w:name w:val="datatime12"/>
    <w:basedOn w:val="4"/>
    <w:qFormat/>
    <w:uiPriority w:val="0"/>
    <w:rPr>
      <w:color w:val="969696"/>
    </w:rPr>
  </w:style>
  <w:style w:type="character" w:customStyle="1" w:styleId="9">
    <w:name w:val="datatime13"/>
    <w:basedOn w:val="4"/>
    <w:qFormat/>
    <w:uiPriority w:val="0"/>
    <w:rPr>
      <w:color w:val="969696"/>
    </w:rPr>
  </w:style>
  <w:style w:type="character" w:customStyle="1" w:styleId="10">
    <w:name w:val="datatime14"/>
    <w:basedOn w:val="4"/>
    <w:qFormat/>
    <w:uiPriority w:val="0"/>
    <w:rPr>
      <w:color w:val="003A79"/>
      <w:sz w:val="18"/>
      <w:szCs w:val="18"/>
    </w:rPr>
  </w:style>
  <w:style w:type="character" w:customStyle="1" w:styleId="11">
    <w:name w:val="datatime15"/>
    <w:basedOn w:val="4"/>
    <w:qFormat/>
    <w:uiPriority w:val="0"/>
    <w:rPr>
      <w:color w:val="003A79"/>
      <w:sz w:val="18"/>
      <w:szCs w:val="18"/>
    </w:rPr>
  </w:style>
  <w:style w:type="character" w:customStyle="1" w:styleId="12">
    <w:name w:val="datatime16"/>
    <w:basedOn w:val="4"/>
    <w:qFormat/>
    <w:uiPriority w:val="0"/>
    <w:rPr>
      <w:color w:val="666666"/>
      <w:sz w:val="18"/>
      <w:szCs w:val="18"/>
    </w:rPr>
  </w:style>
  <w:style w:type="character" w:customStyle="1" w:styleId="13">
    <w:name w:val="clear"/>
    <w:basedOn w:val="4"/>
    <w:qFormat/>
    <w:uiPriority w:val="0"/>
    <w:rPr>
      <w:sz w:val="0"/>
      <w:szCs w:val="0"/>
    </w:rPr>
  </w:style>
  <w:style w:type="character" w:customStyle="1" w:styleId="14">
    <w:name w:val="pass"/>
    <w:basedOn w:val="4"/>
    <w:qFormat/>
    <w:uiPriority w:val="0"/>
    <w:rPr>
      <w:color w:val="D5051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4406</Words>
  <Characters>4431</Characters>
  <Paragraphs>281</Paragraphs>
  <TotalTime>0</TotalTime>
  <ScaleCrop>false</ScaleCrop>
  <LinksUpToDate>false</LinksUpToDate>
  <CharactersWithSpaces>4612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2023-02-24T02:33:32Z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97ac9b1bfcab44e98f322d4f56c1709f</vt:lpwstr>
  </property>
</Properties>
</file>