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left="-105" w:leftChars="-50" w:right="-105" w:rightChars="-50"/>
        <w:jc w:val="center"/>
        <w:textAlignment w:val="auto"/>
        <w:rPr>
          <w:rFonts w:hint="eastAsia" w:ascii="黑体" w:hAnsi="黑体" w:eastAsia="黑体" w:cs="黑体"/>
          <w:b w:val="0"/>
          <w:bCs w:val="0"/>
          <w:spacing w:val="-11"/>
          <w:sz w:val="36"/>
          <w:szCs w:val="36"/>
          <w:lang w:val="en-US" w:eastAsia="zh-CN"/>
        </w:rPr>
      </w:pPr>
      <w:r>
        <w:rPr>
          <w:rFonts w:hint="eastAsia" w:ascii="黑体" w:hAnsi="黑体" w:eastAsia="黑体" w:cs="黑体"/>
          <w:b w:val="0"/>
          <w:bCs w:val="0"/>
          <w:spacing w:val="-11"/>
          <w:sz w:val="36"/>
          <w:szCs w:val="36"/>
          <w:lang w:val="en-US" w:eastAsia="zh-CN"/>
        </w:rPr>
        <w:t>2024年湖南财政经济学院专升本人文地理与城乡规划专业</w:t>
      </w:r>
    </w:p>
    <w:p>
      <w:pPr>
        <w:jc w:val="center"/>
        <w:rPr>
          <w:rFonts w:hint="eastAsia" w:ascii="黑体" w:hAnsi="黑体" w:eastAsia="黑体" w:cs="黑体"/>
          <w:sz w:val="36"/>
          <w:szCs w:val="36"/>
          <w:lang w:eastAsia="zh-CN"/>
        </w:rPr>
      </w:pPr>
      <w:r>
        <w:rPr>
          <w:rFonts w:hint="eastAsia" w:ascii="黑体" w:hAnsi="黑体" w:eastAsia="黑体" w:cs="黑体"/>
          <w:sz w:val="36"/>
          <w:szCs w:val="36"/>
          <w:lang w:eastAsia="zh-CN"/>
        </w:rPr>
        <w:t>《</w:t>
      </w:r>
      <w:r>
        <w:rPr>
          <w:rFonts w:hint="eastAsia" w:ascii="黑体" w:hAnsi="黑体" w:eastAsia="黑体" w:cs="黑体"/>
          <w:b w:val="0"/>
          <w:bCs w:val="0"/>
          <w:sz w:val="36"/>
          <w:szCs w:val="36"/>
          <w:lang w:val="en-US" w:eastAsia="zh-CN"/>
        </w:rPr>
        <w:t>城乡规划原理</w:t>
      </w:r>
      <w:r>
        <w:rPr>
          <w:rFonts w:hint="eastAsia" w:ascii="黑体" w:hAnsi="黑体" w:eastAsia="黑体" w:cs="黑体"/>
          <w:sz w:val="36"/>
          <w:szCs w:val="36"/>
          <w:lang w:eastAsia="zh-CN"/>
        </w:rPr>
        <w:t>》</w:t>
      </w:r>
      <w:r>
        <w:rPr>
          <w:rFonts w:hint="eastAsia" w:ascii="黑体" w:hAnsi="黑体" w:eastAsia="黑体" w:cs="黑体"/>
          <w:sz w:val="36"/>
          <w:szCs w:val="36"/>
          <w:lang w:val="en-US" w:eastAsia="zh-CN"/>
        </w:rPr>
        <w:t>科目</w:t>
      </w:r>
      <w:r>
        <w:rPr>
          <w:rFonts w:hint="eastAsia" w:ascii="黑体" w:hAnsi="黑体" w:eastAsia="黑体" w:cs="黑体"/>
          <w:b w:val="0"/>
          <w:bCs w:val="0"/>
          <w:sz w:val="36"/>
          <w:szCs w:val="36"/>
          <w:lang w:val="en-US" w:eastAsia="zh-CN"/>
        </w:rPr>
        <w:t>考核大纲</w:t>
      </w:r>
    </w:p>
    <w:p>
      <w:pPr>
        <w:jc w:val="center"/>
        <w:rPr>
          <w:rFonts w:hint="eastAsia" w:ascii="黑体" w:hAnsi="黑体" w:eastAsia="黑体" w:cs="黑体"/>
          <w:b w:val="0"/>
          <w:bCs w:val="0"/>
          <w:sz w:val="36"/>
          <w:szCs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黑体" w:hAnsi="黑体" w:eastAsia="黑体" w:cs="黑体"/>
          <w:sz w:val="28"/>
          <w:szCs w:val="28"/>
          <w:lang w:eastAsia="zh-CN"/>
        </w:rPr>
      </w:pPr>
      <w:r>
        <w:rPr>
          <w:rFonts w:hint="eastAsia" w:ascii="黑体" w:hAnsi="黑体" w:eastAsia="黑体" w:cs="黑体"/>
          <w:kern w:val="2"/>
          <w:sz w:val="28"/>
          <w:szCs w:val="28"/>
          <w:lang w:val="en-US" w:eastAsia="zh-CN" w:bidi="ar-SA"/>
        </w:rPr>
        <w:t>一、</w:t>
      </w:r>
      <w:r>
        <w:rPr>
          <w:rFonts w:hint="eastAsia" w:ascii="黑体" w:hAnsi="黑体" w:eastAsia="黑体" w:cs="黑体"/>
          <w:sz w:val="28"/>
          <w:szCs w:val="28"/>
        </w:rPr>
        <w:t>考核目标</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课程立足于中国城乡发展所面临的现实问题，通过本课程的教学，使人文地理与城乡规划专业学生学习城乡规划的背景知识与基本内容，熟悉城乡规划学科所包含的相关知识体系；从认识城乡规划的发展历史与现状入手，掌握城乡规划的基本概念、内容与方法；培养学生观察问题、解决问题、调查分析、初步设计、文字处理与语言表达等能力；训练学生树立区域观、生态观、文化观和环境观；使学生掌握城乡发展及城乡规划学科的基础理论和城乡规划编制、实施等有关的专业理论。</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黑体" w:hAnsi="黑体" w:eastAsia="黑体" w:cs="黑体"/>
          <w:kern w:val="2"/>
          <w:sz w:val="28"/>
          <w:szCs w:val="28"/>
          <w:lang w:val="en-US" w:eastAsia="zh-CN" w:bidi="ar-SA"/>
        </w:rPr>
      </w:pPr>
      <w:r>
        <w:rPr>
          <w:rFonts w:hint="eastAsia" w:ascii="黑体" w:hAnsi="黑体" w:eastAsia="黑体" w:cs="黑体"/>
          <w:kern w:val="2"/>
          <w:sz w:val="28"/>
          <w:szCs w:val="28"/>
          <w:lang w:val="en-US" w:eastAsia="zh-CN" w:bidi="ar-SA"/>
        </w:rPr>
        <w:t>二、考核内容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（一）乡村、城市与城乡规划</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掌握乡村与城市、城市化与新型城镇化的内涵，了解东西方的古代城乡规划思想发展的脉络，了解不同城乡规划思想的发展与演变历程，以及形成重要思想的理论流派。</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重点：</w:t>
      </w:r>
      <w:r>
        <w:rPr>
          <w:rFonts w:hint="eastAsia" w:ascii="仿宋_GB2312" w:hAnsi="仿宋_GB2312" w:eastAsia="仿宋_GB2312" w:cs="仿宋_GB2312"/>
          <w:sz w:val="28"/>
          <w:szCs w:val="28"/>
          <w:lang w:val="en-US" w:eastAsia="zh-CN"/>
        </w:rPr>
        <w:t xml:space="preserve">乡村与城市、城市化与新型城镇化的内涵，不同城乡规划体制下形成的城乡规划价值观。 </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主要内容：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（1）城市、乡村、城镇化与城市化</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（2）城乡规划思想发展</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（3）城乡规划体制与城乡规划价值观</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（二）影响城乡规划的要素及其研究方法</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了解影响城乡系统的结构、动态关系与运行规律，了解城乡规划的各要素之间关系，掌握推进城乡空间可持续发展的城乡规划分析方法。</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重点：</w:t>
      </w:r>
      <w:r>
        <w:rPr>
          <w:rFonts w:hint="eastAsia" w:ascii="仿宋_GB2312" w:hAnsi="仿宋_GB2312" w:eastAsia="仿宋_GB2312" w:cs="仿宋_GB2312"/>
          <w:sz w:val="28"/>
          <w:szCs w:val="28"/>
          <w:lang w:val="en-US" w:eastAsia="zh-CN"/>
        </w:rPr>
        <w:t>城乡规划影响要素的基本内涵、基本规律和基本分析方法。</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难点：</w:t>
      </w:r>
      <w:r>
        <w:rPr>
          <w:rFonts w:hint="eastAsia" w:ascii="仿宋_GB2312" w:hAnsi="仿宋_GB2312" w:eastAsia="仿宋_GB2312" w:cs="仿宋_GB2312"/>
          <w:sz w:val="28"/>
          <w:szCs w:val="28"/>
          <w:lang w:val="en-US" w:eastAsia="zh-CN"/>
        </w:rPr>
        <w:t>城乡规划影响要素的分析方法。</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主要内容：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（1）城乡生态与城乡环境</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（2）城乡经济与产业发展</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（3）城乡人口与城乡社会的构建</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（4）城乡历史与文化变迁</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（5）城乡规划信息与技术</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（三）城乡空间规划</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了解城乡空间规划不同层面的规划类型及主要编制要求，掌握城市用地分类及其适用性评价的标准及方法，掌握区域规划与城镇体系规划、乡镇规划、村庄规划、详细规划的编制原则、编制主体、编制内容和编制方法。</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重点：</w:t>
      </w:r>
      <w:r>
        <w:rPr>
          <w:rFonts w:hint="eastAsia" w:ascii="仿宋_GB2312" w:hAnsi="仿宋_GB2312" w:eastAsia="仿宋_GB2312" w:cs="仿宋_GB2312"/>
          <w:sz w:val="28"/>
          <w:szCs w:val="28"/>
          <w:lang w:val="en-US" w:eastAsia="zh-CN"/>
        </w:rPr>
        <w:t xml:space="preserve">城市用地适用性评价方法，城乡区域规划与城镇体系规划、乡镇规划、村庄规划、详细规划的编制要点。 </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难点：</w:t>
      </w:r>
      <w:r>
        <w:rPr>
          <w:rFonts w:hint="eastAsia" w:ascii="仿宋_GB2312" w:hAnsi="仿宋_GB2312" w:eastAsia="仿宋_GB2312" w:cs="仿宋_GB2312"/>
          <w:sz w:val="28"/>
          <w:szCs w:val="28"/>
          <w:lang w:val="en-US" w:eastAsia="zh-CN"/>
        </w:rPr>
        <w:t xml:space="preserve">城乡区域规划与城镇体系规划、乡镇规划、村庄规划、详细规划的编制要点。 </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主要内容：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（1）城乡规划的类型与编制内容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（2）城乡用地分类及其适用性评价</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（3）区域规划与城镇体系规划</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（4）乡镇规划</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（5）村庄规划</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（6）控制性详细规划</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（四）城乡专项规划</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了解现代城市设计的理论与方法，了解城乡交通与道路规划、城乡生态与绿地系统规划、城乡居民区规划、城乡文化遗产保护与旅游开发规划的编制原则、编制内容和编制方法。</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重点：</w:t>
      </w:r>
      <w:r>
        <w:rPr>
          <w:rFonts w:hint="eastAsia" w:ascii="仿宋_GB2312" w:hAnsi="仿宋_GB2312" w:eastAsia="仿宋_GB2312" w:cs="仿宋_GB2312"/>
          <w:sz w:val="28"/>
          <w:szCs w:val="28"/>
          <w:lang w:val="en-US" w:eastAsia="zh-CN"/>
        </w:rPr>
        <w:t xml:space="preserve">城乡规划中各专项规划的编制要点。 </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难点：</w:t>
      </w:r>
      <w:r>
        <w:rPr>
          <w:rFonts w:hint="eastAsia" w:ascii="仿宋_GB2312" w:hAnsi="仿宋_GB2312" w:eastAsia="仿宋_GB2312" w:cs="仿宋_GB2312"/>
          <w:sz w:val="28"/>
          <w:szCs w:val="28"/>
          <w:lang w:val="en-US" w:eastAsia="zh-CN"/>
        </w:rPr>
        <w:t xml:space="preserve">城乡规划中各专项规划的编制方法。 </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主要内容：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（1）现代城市设计</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（2）城乡交通与道路系统</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（3）城乡生态与绿地系统规划</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（4）城乡居民区规划</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（5）城乡文化遗产保护与旅游开发规划</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（6）城乡开发规划及其实施、监督与管理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黑体" w:hAnsi="黑体" w:eastAsia="黑体" w:cs="黑体"/>
          <w:kern w:val="2"/>
          <w:sz w:val="28"/>
          <w:szCs w:val="28"/>
          <w:lang w:val="en-US" w:eastAsia="zh-CN" w:bidi="ar-SA"/>
        </w:rPr>
      </w:pPr>
      <w:r>
        <w:rPr>
          <w:rFonts w:hint="eastAsia" w:ascii="黑体" w:hAnsi="黑体" w:eastAsia="黑体" w:cs="黑体"/>
          <w:kern w:val="2"/>
          <w:sz w:val="28"/>
          <w:szCs w:val="28"/>
          <w:lang w:val="en-US" w:eastAsia="zh-CN" w:bidi="ar-SA"/>
        </w:rPr>
        <w:t>三、课程考核实施要求</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rPr>
        <w:t>1</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考核方式</w:t>
      </w:r>
      <w:r>
        <w:rPr>
          <w:rFonts w:hint="eastAsia" w:ascii="仿宋_GB2312" w:hAnsi="仿宋_GB2312" w:eastAsia="仿宋_GB2312" w:cs="仿宋_GB2312"/>
          <w:b/>
          <w:bCs/>
          <w:sz w:val="28"/>
          <w:szCs w:val="28"/>
          <w:lang w:eastAsia="zh-CN"/>
        </w:rPr>
        <w:t>：笔试（闭卷）。</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sz w:val="28"/>
          <w:szCs w:val="28"/>
          <w:lang w:val="en-US" w:eastAsia="zh-CN"/>
        </w:rPr>
      </w:pPr>
      <w:bookmarkStart w:id="0" w:name="_GoBack"/>
      <w:r>
        <w:rPr>
          <w:rFonts w:hint="eastAsia" w:ascii="仿宋_GB2312" w:hAnsi="仿宋_GB2312" w:eastAsia="仿宋_GB2312" w:cs="仿宋_GB2312"/>
          <w:b/>
          <w:bCs/>
          <w:sz w:val="28"/>
          <w:szCs w:val="28"/>
          <w:lang w:val="en-US" w:eastAsia="zh-CN"/>
        </w:rPr>
        <w:t>2、考试时长：150分钟。</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val="en-US" w:eastAsia="zh-CN"/>
        </w:rPr>
        <w:t>3</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考试命题</w:t>
      </w:r>
    </w:p>
    <w:bookmarkEnd w:id="0"/>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（1）考核大纲命题内容覆盖教材的主要内容</w:t>
      </w:r>
      <w:r>
        <w:rPr>
          <w:rFonts w:hint="eastAsia" w:ascii="仿宋_GB2312" w:hAnsi="仿宋_GB2312" w:eastAsia="仿宋_GB2312" w:cs="仿宋_GB2312"/>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val="en-US" w:eastAsia="zh-CN"/>
        </w:rPr>
        <w:t>科目分值：满分值200分。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）考试题型</w:t>
      </w:r>
      <w:r>
        <w:rPr>
          <w:rFonts w:hint="eastAsia" w:ascii="仿宋_GB2312" w:hAnsi="仿宋_GB2312" w:eastAsia="仿宋_GB2312" w:cs="仿宋_GB2312"/>
          <w:sz w:val="28"/>
          <w:szCs w:val="28"/>
          <w:lang w:val="en-US" w:eastAsia="zh-CN"/>
        </w:rPr>
        <w:t>包括</w:t>
      </w:r>
      <w:r>
        <w:rPr>
          <w:rFonts w:hint="eastAsia" w:ascii="仿宋_GB2312" w:hAnsi="仿宋_GB2312" w:eastAsia="仿宋_GB2312" w:cs="仿宋_GB2312"/>
          <w:sz w:val="28"/>
          <w:szCs w:val="28"/>
        </w:rPr>
        <w:t>五种</w:t>
      </w:r>
      <w:r>
        <w:rPr>
          <w:rFonts w:hint="eastAsia" w:ascii="仿宋_GB2312" w:hAnsi="仿宋_GB2312" w:eastAsia="仿宋_GB2312" w:cs="仿宋_GB2312"/>
          <w:sz w:val="28"/>
          <w:szCs w:val="28"/>
          <w:lang w:val="en-US" w:eastAsia="zh-CN"/>
        </w:rPr>
        <w:t>类型</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选择题（20%）、填空题（15%）、判断题（10%）、简答题（25%）、案例分析题（30%）</w:t>
      </w:r>
      <w:r>
        <w:rPr>
          <w:rFonts w:hint="eastAsia" w:ascii="仿宋_GB2312" w:hAnsi="仿宋_GB2312" w:eastAsia="仿宋_GB2312" w:cs="仿宋_GB2312"/>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黑体" w:hAnsi="黑体" w:eastAsia="黑体" w:cs="黑体"/>
          <w:kern w:val="2"/>
          <w:sz w:val="28"/>
          <w:szCs w:val="28"/>
          <w:lang w:val="en-US" w:eastAsia="zh-CN" w:bidi="ar-SA"/>
        </w:rPr>
      </w:pPr>
      <w:r>
        <w:rPr>
          <w:rFonts w:hint="eastAsia" w:ascii="黑体" w:hAnsi="黑体" w:eastAsia="黑体" w:cs="黑体"/>
          <w:kern w:val="2"/>
          <w:sz w:val="28"/>
          <w:szCs w:val="28"/>
          <w:lang w:val="en-US" w:eastAsia="zh-CN" w:bidi="ar-SA"/>
        </w:rPr>
        <w:t>四、参考书</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36" w:firstLineChars="200"/>
        <w:textAlignment w:val="auto"/>
        <w:rPr>
          <w:rFonts w:hint="eastAsia" w:ascii="仿宋_GB2312" w:hAnsi="仿宋_GB2312" w:eastAsia="仿宋_GB2312" w:cs="仿宋_GB2312"/>
          <w:spacing w:val="-6"/>
          <w:sz w:val="28"/>
          <w:szCs w:val="28"/>
          <w:lang w:val="en-US" w:eastAsia="zh-CN"/>
        </w:rPr>
      </w:pPr>
      <w:r>
        <w:rPr>
          <w:rFonts w:hint="eastAsia" w:ascii="仿宋_GB2312" w:hAnsi="仿宋_GB2312" w:eastAsia="仿宋_GB2312" w:cs="仿宋_GB2312"/>
          <w:spacing w:val="-6"/>
          <w:sz w:val="28"/>
          <w:szCs w:val="28"/>
          <w:lang w:eastAsia="zh-CN"/>
        </w:rPr>
        <w:t>何杰</w:t>
      </w:r>
      <w:r>
        <w:rPr>
          <w:rFonts w:hint="eastAsia" w:ascii="仿宋_GB2312" w:hAnsi="仿宋_GB2312" w:eastAsia="仿宋_GB2312" w:cs="仿宋_GB2312"/>
          <w:spacing w:val="-6"/>
          <w:sz w:val="28"/>
          <w:szCs w:val="28"/>
          <w:lang w:val="en-US" w:eastAsia="zh-CN"/>
        </w:rPr>
        <w:t>.</w:t>
      </w:r>
      <w:r>
        <w:rPr>
          <w:rFonts w:hint="eastAsia" w:ascii="仿宋_GB2312" w:hAnsi="仿宋_GB2312" w:eastAsia="仿宋_GB2312" w:cs="仿宋_GB2312"/>
          <w:spacing w:val="-6"/>
          <w:sz w:val="28"/>
          <w:szCs w:val="28"/>
          <w:lang w:eastAsia="zh-CN"/>
        </w:rPr>
        <w:t>《城乡规划原理》</w:t>
      </w:r>
      <w:r>
        <w:rPr>
          <w:rFonts w:hint="eastAsia" w:ascii="仿宋_GB2312" w:hAnsi="仿宋_GB2312" w:eastAsia="仿宋_GB2312" w:cs="仿宋_GB2312"/>
          <w:spacing w:val="-6"/>
          <w:sz w:val="28"/>
          <w:szCs w:val="28"/>
        </w:rPr>
        <w:t>[M]</w:t>
      </w:r>
      <w:r>
        <w:rPr>
          <w:rFonts w:hint="eastAsia" w:ascii="仿宋_GB2312" w:hAnsi="仿宋_GB2312" w:eastAsia="仿宋_GB2312" w:cs="仿宋_GB2312"/>
          <w:spacing w:val="-6"/>
          <w:sz w:val="28"/>
          <w:szCs w:val="28"/>
          <w:lang w:val="en-US" w:eastAsia="zh-CN"/>
        </w:rPr>
        <w:t>.北京：中国农业大学出版社，2017年</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吴志强,李德华.《</w:t>
      </w:r>
      <w:r>
        <w:rPr>
          <w:rFonts w:hint="eastAsia" w:ascii="仿宋_GB2312" w:hAnsi="仿宋_GB2312" w:eastAsia="仿宋_GB2312" w:cs="仿宋_GB2312"/>
          <w:sz w:val="28"/>
          <w:szCs w:val="28"/>
          <w:lang w:eastAsia="zh-CN"/>
        </w:rPr>
        <w:t>城乡规划原理》（</w:t>
      </w:r>
      <w:r>
        <w:rPr>
          <w:rFonts w:hint="eastAsia" w:ascii="仿宋_GB2312" w:hAnsi="仿宋_GB2312" w:eastAsia="仿宋_GB2312" w:cs="仿宋_GB2312"/>
          <w:sz w:val="28"/>
          <w:szCs w:val="28"/>
          <w:lang w:val="en-US" w:eastAsia="zh-CN"/>
        </w:rPr>
        <w:t>第四版</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[M]</w:t>
      </w:r>
      <w:r>
        <w:rPr>
          <w:rFonts w:hint="eastAsia" w:ascii="仿宋_GB2312" w:hAnsi="仿宋_GB2312" w:eastAsia="仿宋_GB2312" w:cs="仿宋_GB2312"/>
          <w:sz w:val="28"/>
          <w:szCs w:val="28"/>
          <w:lang w:val="en-US" w:eastAsia="zh-CN"/>
        </w:rPr>
        <w:t>.中国建筑工业出版社，2010年</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sz w:val="28"/>
          <w:szCs w:val="28"/>
          <w:lang w:val="en-US" w:eastAsia="zh-CN"/>
        </w:rPr>
      </w:pP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sz w:val="20"/>
                              <w:szCs w:val="28"/>
                            </w:rPr>
                          </w:pPr>
                          <w:r>
                            <w:rPr>
                              <w:rFonts w:hint="default" w:ascii="Times New Roman" w:hAnsi="Times New Roman" w:cs="Times New Roman"/>
                              <w:sz w:val="20"/>
                              <w:szCs w:val="28"/>
                            </w:rPr>
                            <w:fldChar w:fldCharType="begin"/>
                          </w:r>
                          <w:r>
                            <w:rPr>
                              <w:rFonts w:hint="default" w:ascii="Times New Roman" w:hAnsi="Times New Roman" w:cs="Times New Roman"/>
                              <w:sz w:val="20"/>
                              <w:szCs w:val="28"/>
                            </w:rPr>
                            <w:instrText xml:space="preserve"> PAGE  \* MERGEFORMAT </w:instrText>
                          </w:r>
                          <w:r>
                            <w:rPr>
                              <w:rFonts w:hint="default" w:ascii="Times New Roman" w:hAnsi="Times New Roman" w:cs="Times New Roman"/>
                              <w:sz w:val="20"/>
                              <w:szCs w:val="28"/>
                            </w:rPr>
                            <w:fldChar w:fldCharType="separate"/>
                          </w:r>
                          <w:r>
                            <w:rPr>
                              <w:rFonts w:hint="default" w:ascii="Times New Roman" w:hAnsi="Times New Roman" w:cs="Times New Roman"/>
                              <w:sz w:val="20"/>
                              <w:szCs w:val="28"/>
                            </w:rPr>
                            <w:t>1</w:t>
                          </w:r>
                          <w:r>
                            <w:rPr>
                              <w:rFonts w:hint="default" w:ascii="Times New Roman" w:hAnsi="Times New Roman" w:cs="Times New Roman"/>
                              <w:sz w:val="20"/>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ascii="Times New Roman" w:hAnsi="Times New Roman" w:cs="Times New Roman"/>
                        <w:sz w:val="20"/>
                        <w:szCs w:val="28"/>
                      </w:rPr>
                    </w:pPr>
                    <w:r>
                      <w:rPr>
                        <w:rFonts w:hint="default" w:ascii="Times New Roman" w:hAnsi="Times New Roman" w:cs="Times New Roman"/>
                        <w:sz w:val="20"/>
                        <w:szCs w:val="28"/>
                      </w:rPr>
                      <w:fldChar w:fldCharType="begin"/>
                    </w:r>
                    <w:r>
                      <w:rPr>
                        <w:rFonts w:hint="default" w:ascii="Times New Roman" w:hAnsi="Times New Roman" w:cs="Times New Roman"/>
                        <w:sz w:val="20"/>
                        <w:szCs w:val="28"/>
                      </w:rPr>
                      <w:instrText xml:space="preserve"> PAGE  \* MERGEFORMAT </w:instrText>
                    </w:r>
                    <w:r>
                      <w:rPr>
                        <w:rFonts w:hint="default" w:ascii="Times New Roman" w:hAnsi="Times New Roman" w:cs="Times New Roman"/>
                        <w:sz w:val="20"/>
                        <w:szCs w:val="28"/>
                      </w:rPr>
                      <w:fldChar w:fldCharType="separate"/>
                    </w:r>
                    <w:r>
                      <w:rPr>
                        <w:rFonts w:hint="default" w:ascii="Times New Roman" w:hAnsi="Times New Roman" w:cs="Times New Roman"/>
                        <w:sz w:val="20"/>
                        <w:szCs w:val="28"/>
                      </w:rPr>
                      <w:t>1</w:t>
                    </w:r>
                    <w:r>
                      <w:rPr>
                        <w:rFonts w:hint="default" w:ascii="Times New Roman" w:hAnsi="Times New Roman" w:cs="Times New Roman"/>
                        <w:sz w:val="20"/>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xMzFmZDE5MmVjZDhlNzY5NDBlZjM0MmU0YzY2YmEifQ=="/>
    <w:docVar w:name="KSO_WPS_MARK_KEY" w:val="353921fd-cb6f-4afb-a6cd-62dd60f9ee4a"/>
  </w:docVars>
  <w:rsids>
    <w:rsidRoot w:val="32A61C82"/>
    <w:rsid w:val="03C44108"/>
    <w:rsid w:val="0F3020DD"/>
    <w:rsid w:val="175E0B06"/>
    <w:rsid w:val="17F0156E"/>
    <w:rsid w:val="1C4878E2"/>
    <w:rsid w:val="1D5F53D5"/>
    <w:rsid w:val="232E2103"/>
    <w:rsid w:val="245E4322"/>
    <w:rsid w:val="27364C8B"/>
    <w:rsid w:val="2D2C202A"/>
    <w:rsid w:val="2E9E144C"/>
    <w:rsid w:val="2EF33B68"/>
    <w:rsid w:val="32A61C82"/>
    <w:rsid w:val="498B70B7"/>
    <w:rsid w:val="4D3167C0"/>
    <w:rsid w:val="4D5B7E22"/>
    <w:rsid w:val="50D643AB"/>
    <w:rsid w:val="55B91319"/>
    <w:rsid w:val="5E4C41D3"/>
    <w:rsid w:val="78617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cs="Times New Roman"/>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1305</Words>
  <Characters>1334</Characters>
  <Lines>0</Lines>
  <Paragraphs>0</Paragraphs>
  <TotalTime>92</TotalTime>
  <ScaleCrop>false</ScaleCrop>
  <LinksUpToDate>false</LinksUpToDate>
  <CharactersWithSpaces>1339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2024-03-06T09:20:00Z</dcterms:created>
  <dc:creator>胜哥</dc:creator>
  <cp:lastModifiedBy>三毛快印-店内营业微信</cp:lastModifiedBy>
  <cp:lastPrinted>2024-03-08T04:43:00Z</cp:lastPrinted>
  <dcterms:modified xsi:type="dcterms:W3CDTF">2024-03-12T09:21:01Z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5202B16529FB421C95AB828DC39F44BF_13</vt:lpwstr>
  </property>
</Properties>
</file>