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pacing w:val="-6"/>
          <w:sz w:val="36"/>
          <w:szCs w:val="36"/>
        </w:rPr>
        <w:t>2024年湖南财政经济学院专升本劳动与社会保障专业</w:t>
      </w:r>
      <w:r>
        <w:rPr>
          <w:rFonts w:hint="eastAsia" w:ascii="黑体" w:hAnsi="黑体" w:eastAsia="黑体" w:cs="黑体"/>
          <w:sz w:val="36"/>
          <w:szCs w:val="36"/>
        </w:rPr>
        <w:t>《公共管理学、社会保障概论》综合科目考核大纲</w:t>
      </w:r>
    </w:p>
    <w:p>
      <w:pPr>
        <w:jc w:val="center"/>
        <w:rPr>
          <w:rFonts w:ascii="黑体" w:hAnsi="黑体" w:eastAsia="黑体" w:cs="黑体"/>
          <w:sz w:val="36"/>
          <w:szCs w:val="36"/>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黑体" w:hAnsi="黑体" w:eastAsia="黑体" w:cs="黑体"/>
          <w:sz w:val="28"/>
          <w:szCs w:val="28"/>
        </w:rPr>
      </w:pPr>
      <w:r>
        <w:rPr>
          <w:rFonts w:hint="eastAsia" w:ascii="黑体" w:hAnsi="黑体" w:eastAsia="黑体" w:cs="黑体"/>
          <w:sz w:val="28"/>
          <w:szCs w:val="28"/>
        </w:rPr>
        <w:t>一、考核目标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公共管理学》和《社会保障学》是劳动与社会保障专业的基础课程。其中，《公共管理学》是研究政府和其他公共部门对社会公共实务进行管理的一门应用性学科。考核中强调本课程的时代性和应用性的特点，贯彻理论联系实际的原则。要求考生能够了解公共管理学的基础知识和基本概念，建立公共管理学的知识框架；理解公共管理学的一些基础理论和理论研究的新进展，拓宽视野、更新观念；掌握公共管理学的一些重要理论，并能结合实践分析问题，为进一步学习劳动与社会保障的专业理论，提高专业能力和水平打下坚实的基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社会保障概论》要求学生掌握社会保障基本概念、发展历程、社会保障基础理论以及社会保障管理等方面的理论与知识。掌握国外和我国社会保障各领域的发展历程、现状和发展趋势。了解社会保障与经济、法律等其他相关领域的关系，了解社会保障在稳定社会经济运行发展中的地位和作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lang w:eastAsia="zh-CN"/>
        </w:rPr>
        <w:t>二、</w:t>
      </w:r>
      <w:r>
        <w:rPr>
          <w:rFonts w:hint="eastAsia" w:ascii="黑体" w:hAnsi="黑体" w:eastAsia="黑体" w:cs="黑体"/>
          <w:sz w:val="28"/>
          <w:szCs w:val="28"/>
        </w:rPr>
        <w:t>考核内容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科目一：《公共管理学》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（一）导论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宋体" w:eastAsia="仿宋_GB2312"/>
          <w:b w:val="0"/>
          <w:bCs w:val="0"/>
          <w:sz w:val="28"/>
          <w:szCs w:val="28"/>
        </w:rPr>
      </w:pPr>
      <w:r>
        <w:rPr>
          <w:rFonts w:hint="eastAsia" w:ascii="仿宋_GB2312" w:hAnsi="宋体" w:eastAsia="仿宋_GB2312"/>
          <w:b w:val="0"/>
          <w:bCs w:val="0"/>
          <w:sz w:val="28"/>
          <w:szCs w:val="28"/>
        </w:rPr>
        <w:t>识记：（1）公共管理学的概念；（2）公共产品的概念及特点；（3）公共行政的基本目标。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宋体" w:eastAsia="仿宋_GB2312"/>
          <w:b w:val="0"/>
          <w:bCs w:val="0"/>
          <w:sz w:val="28"/>
          <w:szCs w:val="28"/>
        </w:rPr>
      </w:pPr>
      <w:r>
        <w:rPr>
          <w:rFonts w:hint="eastAsia" w:ascii="仿宋_GB2312" w:hAnsi="宋体" w:eastAsia="仿宋_GB2312"/>
          <w:b w:val="0"/>
          <w:bCs w:val="0"/>
          <w:sz w:val="28"/>
          <w:szCs w:val="28"/>
        </w:rPr>
        <w:t>2、理解：（1）公共管理与公共行政的区别；（2）公共管理与公共政策、工商企业管理的区别和联系；（3）公共管理B途径与P途径的特点。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b w:val="0"/>
          <w:bCs w:val="0"/>
          <w:sz w:val="28"/>
          <w:szCs w:val="28"/>
        </w:rPr>
      </w:pPr>
      <w:r>
        <w:rPr>
          <w:rFonts w:hint="eastAsia" w:ascii="仿宋_GB2312" w:hAnsi="宋体" w:eastAsia="仿宋_GB2312"/>
          <w:b w:val="0"/>
          <w:bCs w:val="0"/>
          <w:sz w:val="28"/>
          <w:szCs w:val="28"/>
        </w:rPr>
        <w:t>3、应用：（1）公共产品的具体分类：（2）公共管理学的研究方法。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（二）公共管理的理论发展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宋体" w:eastAsia="仿宋_GB2312"/>
          <w:b w:val="0"/>
          <w:bCs w:val="0"/>
          <w:sz w:val="28"/>
          <w:szCs w:val="28"/>
        </w:rPr>
      </w:pPr>
      <w:r>
        <w:rPr>
          <w:rFonts w:hint="eastAsia" w:ascii="仿宋_GB2312" w:hAnsi="宋体" w:eastAsia="仿宋_GB2312"/>
          <w:b w:val="0"/>
          <w:bCs w:val="0"/>
          <w:sz w:val="28"/>
          <w:szCs w:val="28"/>
        </w:rPr>
        <w:t>1、识记：（1）威尔逊的“政治-行政”二分法；（2）怀特作为公共行政的奠基人及著作代表《公共行政导论》；（3）奥本斯、盖布勒的代表作；（4）新公共服务的定义；（5）新公共管理的两大基本理念。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宋体" w:eastAsia="仿宋_GB2312"/>
          <w:b w:val="0"/>
          <w:bCs w:val="0"/>
          <w:sz w:val="28"/>
          <w:szCs w:val="28"/>
        </w:rPr>
      </w:pPr>
      <w:r>
        <w:rPr>
          <w:rFonts w:hint="eastAsia" w:ascii="仿宋_GB2312" w:hAnsi="宋体" w:eastAsia="仿宋_GB2312"/>
          <w:b w:val="0"/>
          <w:bCs w:val="0"/>
          <w:sz w:val="28"/>
          <w:szCs w:val="28"/>
        </w:rPr>
        <w:t>2、理解：（1）马克斯•韦伯被称为“组织理论之父”；（2）马克斯•韦伯三种组织合法权威；（3）沃尔多对传统公共行政的批判以及他阐述的新公共行政内容；（4）经济人的人性假设及公共选择理论；（5）公共选择与新公共管理理论的不同；（6）新公共服务的主要内容；（7）公共治理理论的核心观点及主要内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b w:val="0"/>
          <w:bCs w:val="0"/>
          <w:sz w:val="28"/>
          <w:szCs w:val="28"/>
        </w:rPr>
        <w:t>3、应用：（</w:t>
      </w:r>
      <w:r>
        <w:rPr>
          <w:rFonts w:hint="eastAsia" w:ascii="仿宋_GB2312" w:hAnsi="宋体" w:eastAsia="仿宋_GB2312"/>
          <w:sz w:val="28"/>
          <w:szCs w:val="28"/>
        </w:rPr>
        <w:t>1）西蒙的批评与公共政策学派的出现；（2）公共选择理论对公共管理学的意义。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（三）公共组织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1、识记：（1）公共组织的概念、基本要素及特征；（2）公共组织主要结构形式；（3）非营利组织的概念；（4）事业单位的概念。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直线制的优点与缺点；（2）职能制的优点与缺点；（3）直线职能制的优点与确定；（4）萨拉蒙关于非营利性组织的特征；（5）事业单位的基本特征；（6）科层制组织的基本特征和主要内容；（7）公共组织变革的目标及内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3、应用：（1）非营利性组织按承担功能的分类；（2）我国非营利性组织发展存在的问题；（3）对传统科层制缺陷和困境的评述。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（四）公共领导</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1、识记：（1）公共领导的概念；（2）公共领导的特点；（3）公共领导的作用；（</w:t>
      </w:r>
      <w:r>
        <w:rPr>
          <w:rFonts w:hint="eastAsia" w:ascii="仿宋_GB2312" w:hAnsi="宋体" w:eastAsia="仿宋_GB2312"/>
          <w:sz w:val="28"/>
          <w:szCs w:val="28"/>
          <w:lang w:val="en-US" w:eastAsia="zh-CN"/>
        </w:rPr>
        <w:t>4</w:t>
      </w:r>
      <w:r>
        <w:rPr>
          <w:rFonts w:hint="eastAsia" w:ascii="仿宋_GB2312" w:hAnsi="宋体" w:eastAsia="仿宋_GB2312"/>
          <w:sz w:val="28"/>
          <w:szCs w:val="28"/>
        </w:rPr>
        <w:t>）领导体制的含义；（</w:t>
      </w:r>
      <w:r>
        <w:rPr>
          <w:rFonts w:hint="eastAsia" w:ascii="仿宋_GB2312" w:hAnsi="宋体" w:eastAsia="仿宋_GB2312"/>
          <w:sz w:val="28"/>
          <w:szCs w:val="28"/>
          <w:lang w:val="en-US" w:eastAsia="zh-CN"/>
        </w:rPr>
        <w:t>5</w:t>
      </w:r>
      <w:r>
        <w:rPr>
          <w:rFonts w:hint="eastAsia" w:ascii="仿宋_GB2312" w:hAnsi="宋体" w:eastAsia="仿宋_GB2312"/>
          <w:sz w:val="28"/>
          <w:szCs w:val="28"/>
        </w:rPr>
        <w:t>）领导协调的含义；（</w:t>
      </w:r>
      <w:r>
        <w:rPr>
          <w:rFonts w:hint="eastAsia" w:ascii="仿宋_GB2312" w:hAnsi="宋体" w:eastAsia="仿宋_GB2312"/>
          <w:sz w:val="28"/>
          <w:szCs w:val="28"/>
          <w:lang w:val="en-US" w:eastAsia="zh-CN"/>
        </w:rPr>
        <w:t>6</w:t>
      </w:r>
      <w:r>
        <w:rPr>
          <w:rFonts w:hint="eastAsia" w:ascii="仿宋_GB2312" w:hAnsi="宋体" w:eastAsia="仿宋_GB2312"/>
          <w:sz w:val="28"/>
          <w:szCs w:val="28"/>
        </w:rPr>
        <w:t>）沟通的定义；（</w:t>
      </w:r>
      <w:r>
        <w:rPr>
          <w:rFonts w:hint="eastAsia" w:ascii="仿宋_GB2312" w:hAnsi="宋体" w:eastAsia="仿宋_GB2312"/>
          <w:sz w:val="28"/>
          <w:szCs w:val="28"/>
          <w:lang w:val="en-US" w:eastAsia="zh-CN"/>
        </w:rPr>
        <w:t>7</w:t>
      </w:r>
      <w:r>
        <w:rPr>
          <w:rFonts w:hint="eastAsia" w:ascii="仿宋_GB2312" w:hAnsi="宋体" w:eastAsia="仿宋_GB2312"/>
          <w:sz w:val="28"/>
          <w:szCs w:val="28"/>
        </w:rPr>
        <w:t>）激励的含义；（</w:t>
      </w:r>
      <w:r>
        <w:rPr>
          <w:rFonts w:hint="eastAsia" w:ascii="仿宋_GB2312" w:hAnsi="宋体" w:eastAsia="仿宋_GB2312"/>
          <w:sz w:val="28"/>
          <w:szCs w:val="28"/>
          <w:lang w:val="en-US" w:eastAsia="zh-CN"/>
        </w:rPr>
        <w:t>8</w:t>
      </w:r>
      <w:r>
        <w:rPr>
          <w:rFonts w:hint="eastAsia" w:ascii="仿宋_GB2312" w:hAnsi="宋体" w:eastAsia="仿宋_GB2312"/>
          <w:sz w:val="28"/>
          <w:szCs w:val="28"/>
        </w:rPr>
        <w:t>）领导能力的定义。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lang w:val="en-US" w:eastAsia="zh-CN"/>
        </w:rPr>
        <w:t>2、</w:t>
      </w:r>
      <w:r>
        <w:rPr>
          <w:rFonts w:hint="eastAsia" w:ascii="仿宋_GB2312" w:hAnsi="宋体" w:eastAsia="仿宋_GB2312"/>
          <w:sz w:val="28"/>
          <w:szCs w:val="28"/>
        </w:rPr>
        <w:t>理解：（1）三种领导方式理论；（2）领导体制的基本类型；（3）费德勒领导权变理论的三种因素；（4）领导协调的特点；（5）领导人际关系协调的内容；（6）领导能力的作用；（</w:t>
      </w:r>
      <w:r>
        <w:rPr>
          <w:rFonts w:hint="eastAsia" w:ascii="仿宋_GB2312" w:hAnsi="宋体" w:eastAsia="仿宋_GB2312"/>
          <w:sz w:val="28"/>
          <w:szCs w:val="28"/>
          <w:lang w:val="en-US" w:eastAsia="zh-CN"/>
        </w:rPr>
        <w:t>7</w:t>
      </w:r>
      <w:r>
        <w:rPr>
          <w:rFonts w:hint="eastAsia" w:ascii="仿宋_GB2312" w:hAnsi="宋体" w:eastAsia="仿宋_GB2312"/>
          <w:sz w:val="28"/>
          <w:szCs w:val="28"/>
        </w:rPr>
        <w:t>）领导沟通的作用；（</w:t>
      </w:r>
      <w:r>
        <w:rPr>
          <w:rFonts w:hint="eastAsia" w:ascii="仿宋_GB2312" w:hAnsi="宋体" w:eastAsia="仿宋_GB2312"/>
          <w:sz w:val="28"/>
          <w:szCs w:val="28"/>
          <w:lang w:val="en-US" w:eastAsia="zh-CN"/>
        </w:rPr>
        <w:t>8</w:t>
      </w:r>
      <w:r>
        <w:rPr>
          <w:rFonts w:hint="eastAsia" w:ascii="仿宋_GB2312" w:hAnsi="宋体" w:eastAsia="仿宋_GB2312"/>
          <w:sz w:val="28"/>
          <w:szCs w:val="28"/>
        </w:rPr>
        <w:t>）增强领沟通的方法。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应用：（1）特质理论；（2）集权制与分权制优缺比较；（3）我国领导体制存在问题及改革路径。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（五） 公共政策</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1、识记：（1）公共问题的基本特性；（2）公共政策的含义和范畴；（3）公共政策议程的含义；（4）政策分析的含义。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2、理解：（1）公共政策制定应遵循的原则；（2）安德森对公共问题进入公共政策议程的出发类型；（3）公共政策问题建构的步骤；（4）公共问题成为公共政策问题的条件；（5）公共政策执行的失控与矫正。</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3、应用：（1）政府与公众之间政策沟通的途径及其障碍；（2）公共政策执行的两条途径；（3）头脑风暴法的步骤；（4）德尔菲法的步骤。</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（六）公共人力资源管理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1、识记：（1）人力资源的含义；（2）职务分析的含义；（3）职务分析的程序；（4）内部招聘的含义。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2、理解：（1）人力资源的特点；（2）科学管理时代人力资源的特点；（3）行为主义时代人力资源的特点；（4）招聘筛选的方法。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3、应用：（1）传统人事管理与现代人力资源管理的差别；（2）现代管理时代的主要理论和学派；（3）西方公务员制度的特点。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（七）公共预算管理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1、识记：（1）公共预算的内涵；（2）公共预算的要素。</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2、理解：（1）公共预算的功能；（2）公共预算两上两下的预算过程；（3）我国政府预算编制的基本原则及编制方法。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（八）政务信息资源管理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1、识记：（1）政务信息资源的含义；（2）政务信息资源管理的核心任务。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2、理解：（1）信息资源管理的要素；（2）信息资源过关率的管理过程；（3）政务信息资源管理的目标。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（九）应急管理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1、识记：（1）公共危机和应急管理的内涵；（2）应急管理的定位和使命；（3）应急管理体制的含义。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2、理解：（1）应急管理过程；（2）应急管理决策机制；（3）应急管理资源配置与保障机制。</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3、应用：（1）应急管理新闻发布机制；（2）应急管理管理的善后处理与评估机制；（3）应急管理的动态管理模式。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（十）公共管理技术与方法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1、识记：（1）行政手段的含义；（2）法律手段的含义；（3）经济手段的含义；（4）手段教育手段的含义； （5）市场化的含义；（6）民营化的含义；（7）用者付费</w:t>
      </w:r>
      <w:r>
        <w:rPr>
          <w:rFonts w:hint="eastAsia" w:ascii="仿宋_GB2312" w:hAnsi="宋体" w:eastAsia="仿宋_GB2312"/>
          <w:sz w:val="28"/>
          <w:szCs w:val="28"/>
          <w:lang w:eastAsia="zh-CN"/>
        </w:rPr>
        <w:t>的</w:t>
      </w:r>
      <w:r>
        <w:rPr>
          <w:rFonts w:hint="eastAsia" w:ascii="仿宋_GB2312" w:hAnsi="宋体" w:eastAsia="仿宋_GB2312"/>
          <w:sz w:val="28"/>
          <w:szCs w:val="28"/>
        </w:rPr>
        <w:t>含义；（8）合同外包的含义；（9）特许经营的含义；（10）放松管制的含义；（11）产权交易的含义。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2、理解：（1）行政手段的特点及具体方式；（2）法律手段的特点及具体方式；（3）经济手段的特点及具体方式；（4）思想教育手段的特点及具体方式。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3、应用：（1）目标管理理论；（2）顾客导向理论；（3）标杆管理理论；（4）流程再造理论；（5）公共部门战略管理的性质；（6）SWOT分析方法。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（十一）公共管理规范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1、识记：（1）公共管理伦理的含义；（2）公共管理伦理的实质；（3）公共管理监督的内容。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2、理解：（1）公共利益的评价功能；（2）公共责任的特征；（3）公共责任冲突的三种形式；（4）公共行政法治化的原因。</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3、应用：（1）我国公共行政法治化的主要内容；（2）我国公共管理监督机制的问题与对策。</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（十二）公共部门绩效评估</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1、识记：（1）公共部门绩效的概念；（2）绩效评估指标的分类；（3）公共部门绩效评估的质量标准。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2、理解：（1）公共部门绩效评估的特征；（2）公共部门绩效评估的兴起与意义；（3）建立绩效评估指标体系的依据。</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3、应用：（1）西方国家公共部门绩效评估的发展趋势；（2）公共部门绩效评估的程序；（3）科学推进中国公共部门绩效评估的措施与途径。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（十三）公共部门改革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1、识记：（1）公共部门改革的目标。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1、理解：（1）戴维.奥斯本的“企业家政府”模式；（2）欧文.•伊.•休斯的“公共管理”新模式；（3）当代西方国家公共部门改革的内容与特点。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2、应用：（1）当代西方国家公共部门改革的兴起；（2）深化行政体制改革的方向；（3）当前行政体制改革的主要内容。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科目二：《社会保障概论》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（一）社会保障概述</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1、识记：（1）社会风险概念；（2）社会保险概念；（3）社会救助概念；（4）社会福利概念；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2、理解：（1）社会风险的基本特征；（2）社会保障的基本特征；（3）按照社会风险分类划分的社会保障体系。</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3、运用：（1）分析社会保障的功能：（2）分析中国特色社会主义的社会保障思想。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（二）社会保障的产生与发展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1、识记：（1）济贫法；（2）俾斯麦社会保险模式；（3）贝弗里奇报告；</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2、理解：（1）社会保障全面发展时期的特征；（2）20世纪70年代中后期社会保障制度改革的路径；（3）新中国成立后社会保障的发展历程。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3、运用：（1）1984年以来中国社会保障制度改革的措施；（2）分析当前中国社会保障制度存在的主要问题。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（三）社会保障模式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1、识记：（1）社会保险型社会保障模式概念；（2）强制储蓄型社会保障模式概念；（3）国家保险型社会保障模式概念。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2、理解：（1）社会保险型社会保障模式的特点；（2）福利国家型社会保障模式的特点；（3）强制储蓄型社会保障模式的特点。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3、运用：（1）比较分析四种不同社会保障模式的特点与效果。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（四）社会保障法治与管理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1、识记：（1）社会保障立法概念；（2）社会保障执法概念；（3）社会保障司法概念；（4）社会保障守法概念；（5）社会保障管理概念；（6）社会保障基金概念；（4）社会保障信息概念。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2、理解：（1）社会保障管理的特征；（2）社会保障管理体制的主要特征。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 xml:space="preserve">3、运用：（1）分析社会保障基金管理流程；（2）分析社会保障信息管理流程。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（五）社会保障水平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1、识记：（1）社会保障水平概念；（2）社会保障工资比重系数；（3）社会保障财政支出比重系数；（4）社会保障国内生产总值比重系数</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2、理解：（1）社会保障水平的适度标准；（2）社会保障水平适度的功能；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3、运用：（1）分析社会保障支出的范围；（2）中国适度保障水平发展策略</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（六）生存发展风险与保障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1、识记：（1）临时救助概念；（2）灾害救助概念；（3）教育救助概念；（4）法律援助概念；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2、理解：（1）灾害救助内容；（2）司法救助的主要内容；（4）慈善事业的特征。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 xml:space="preserve">3、运用：（1）分析家庭困难学生资助政策；（2）特困人员供养的主要内容。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（七）健康风险与保障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1、识记：（1）健康风险概念；（2）健康保障概念；（3）医疗保险概念；（4）生育保险概念；（5）医疗救助概念。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2、理解：（1）健康保障特征；（2）健康保障体系。</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 xml:space="preserve">3、运用：（1）分析公共卫生管理体制和运行机制；（2）医疗救助的功能。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（八）职业风险与保障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1、识记：（1）职业风险概念；（2）工伤概念；（3）工伤保险概念；（4）失业保险概念；（5）失业救助概念。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2、理解：（1）失业的类型；（</w:t>
      </w:r>
      <w:r>
        <w:rPr>
          <w:rFonts w:hint="eastAsia" w:ascii="仿宋_GB2312" w:hAnsi="宋体" w:eastAsia="仿宋_GB2312"/>
          <w:sz w:val="28"/>
          <w:szCs w:val="28"/>
          <w:lang w:val="en-US" w:eastAsia="zh-CN"/>
        </w:rPr>
        <w:t>2</w:t>
      </w:r>
      <w:r>
        <w:rPr>
          <w:rFonts w:hint="eastAsia" w:ascii="仿宋_GB2312" w:hAnsi="宋体" w:eastAsia="仿宋_GB2312"/>
          <w:sz w:val="28"/>
          <w:szCs w:val="28"/>
        </w:rPr>
        <w:t>）工伤保险的功能；（3）失业保险的功能。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 xml:space="preserve">3、运用：（1）分析工伤保险制度的构成；（2）分析失业保险制度的构成。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宋体" w:eastAsia="仿宋_GB2312"/>
          <w:b/>
          <w:bCs/>
          <w:sz w:val="28"/>
          <w:szCs w:val="28"/>
        </w:rPr>
      </w:pPr>
      <w:r>
        <w:rPr>
          <w:rFonts w:hint="eastAsia" w:ascii="仿宋_GB2312" w:hAnsi="宋体" w:eastAsia="仿宋_GB2312"/>
          <w:b/>
          <w:bCs/>
          <w:sz w:val="28"/>
          <w:szCs w:val="28"/>
        </w:rPr>
        <w:t>（九）老残风险与保障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1、识记：（1）老残风险概念；（2）老残保障概念；（3）养老金概念；（4）老年福利概念；（5）残疾人福利概念。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2、理解：（1）老残保障的特点；（2）养老金的特点。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宋体" w:eastAsia="仿宋_GB2312"/>
          <w:sz w:val="28"/>
          <w:szCs w:val="28"/>
        </w:rPr>
      </w:pPr>
      <w:r>
        <w:rPr>
          <w:rFonts w:hint="eastAsia" w:ascii="仿宋_GB2312" w:hAnsi="宋体" w:eastAsia="仿宋_GB2312"/>
          <w:sz w:val="28"/>
          <w:szCs w:val="28"/>
        </w:rPr>
        <w:t>3、运用：（1）分析养老金制度体系；（2）分析老残护理服务模式。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lang w:eastAsia="zh-CN"/>
        </w:rPr>
      </w:pPr>
      <w:r>
        <w:rPr>
          <w:rFonts w:hint="eastAsia" w:ascii="黑体" w:hAnsi="黑体" w:eastAsia="黑体" w:cs="黑体"/>
          <w:sz w:val="28"/>
          <w:szCs w:val="28"/>
        </w:rPr>
        <w:t>三、课程考核实施要求</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lang w:eastAsia="zh-CN"/>
        </w:rPr>
      </w:pPr>
      <w:r>
        <w:rPr>
          <w:rFonts w:ascii="Times New Roman" w:hAnsi="Times New Roman" w:eastAsia="仿宋_GB2312" w:cs="Times New Roman"/>
          <w:sz w:val="28"/>
          <w:szCs w:val="28"/>
        </w:rPr>
        <w:t>1、</w:t>
      </w:r>
      <w:r>
        <w:rPr>
          <w:rFonts w:hint="eastAsia" w:ascii="仿宋_GB2312" w:hAnsi="仿宋_GB2312" w:eastAsia="仿宋_GB2312" w:cs="仿宋_GB2312"/>
          <w:sz w:val="28"/>
          <w:szCs w:val="28"/>
        </w:rPr>
        <w:t>考核方式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本命题考试为劳动与社会保障专业专升本学生适用，考核方式为闭卷笔试。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lang w:eastAsia="zh-CN"/>
        </w:rPr>
      </w:pPr>
      <w:r>
        <w:rPr>
          <w:rFonts w:ascii="Times New Roman" w:hAnsi="Times New Roman" w:eastAsia="仿宋_GB2312" w:cs="Times New Roman"/>
          <w:sz w:val="28"/>
          <w:szCs w:val="28"/>
        </w:rPr>
        <w:t>2、</w:t>
      </w:r>
      <w:r>
        <w:rPr>
          <w:rFonts w:hint="eastAsia" w:ascii="仿宋_GB2312" w:hAnsi="仿宋_GB2312" w:eastAsia="仿宋_GB2312" w:cs="仿宋_GB2312"/>
          <w:sz w:val="28"/>
          <w:szCs w:val="28"/>
        </w:rPr>
        <w:t>考试时长:</w:t>
      </w:r>
      <w:r>
        <w:rPr>
          <w:rFonts w:ascii="Times New Roman" w:hAnsi="Times New Roman" w:eastAsia="仿宋_GB2312" w:cs="Times New Roman"/>
          <w:sz w:val="28"/>
          <w:szCs w:val="28"/>
        </w:rPr>
        <w:t>150</w:t>
      </w:r>
      <w:r>
        <w:rPr>
          <w:rFonts w:hint="eastAsia" w:ascii="仿宋_GB2312" w:hAnsi="仿宋_GB2312" w:eastAsia="仿宋_GB2312" w:cs="仿宋_GB2312"/>
          <w:sz w:val="28"/>
          <w:szCs w:val="28"/>
        </w:rPr>
        <w:t>分钟。</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仿宋_GB2312" w:eastAsia="仿宋_GB2312" w:cs="仿宋_GB2312"/>
          <w:sz w:val="28"/>
          <w:szCs w:val="28"/>
        </w:rPr>
      </w:pPr>
      <w:r>
        <w:rPr>
          <w:rFonts w:ascii="Times New Roman" w:hAnsi="Times New Roman" w:eastAsia="仿宋_GB2312" w:cs="Times New Roman"/>
          <w:sz w:val="28"/>
          <w:szCs w:val="28"/>
        </w:rPr>
        <w:t>3、</w:t>
      </w:r>
      <w:r>
        <w:rPr>
          <w:rFonts w:hint="eastAsia" w:ascii="仿宋_GB2312" w:hAnsi="仿宋_GB2312" w:eastAsia="仿宋_GB2312" w:cs="仿宋_GB2312"/>
          <w:sz w:val="28"/>
          <w:szCs w:val="28"/>
        </w:rPr>
        <w:t>考试命题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（1）考核大纲命题内容覆盖教材的主要内容。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（2）科目分值：满分值</w:t>
      </w:r>
      <w:r>
        <w:rPr>
          <w:rFonts w:ascii="Times New Roman" w:hAnsi="Times New Roman" w:eastAsia="仿宋_GB2312" w:cs="Times New Roman"/>
          <w:sz w:val="28"/>
          <w:szCs w:val="28"/>
        </w:rPr>
        <w:t>200</w:t>
      </w:r>
      <w:r>
        <w:rPr>
          <w:rFonts w:hint="eastAsia" w:ascii="仿宋_GB2312" w:hAnsi="仿宋_GB2312" w:eastAsia="仿宋_GB2312" w:cs="仿宋_GB2312"/>
          <w:sz w:val="28"/>
          <w:szCs w:val="28"/>
        </w:rPr>
        <w:t>分。（《公共管理学》满分值100分；《社会保障概论》满分值100分）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考试题型包括五种类型，单项选择题、多项选择题、名词解释题、简答题、论述题。试题对不同能力层次要求的比例为：识记的占30%，理解约占40%，应用约占30%。不同难易度试题的比例为：较易占30%，中等占40%，较难占30%。</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四、教材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蔡立辉，王乐夫</w:t>
      </w:r>
      <w:r>
        <w:rPr>
          <w:rFonts w:ascii="Times New Roman" w:hAnsi="Times New Roman" w:eastAsia="仿宋_GB2312" w:cs="Times New Roman"/>
          <w:sz w:val="28"/>
          <w:szCs w:val="28"/>
          <w:lang w:eastAsia="zh-Hans"/>
        </w:rPr>
        <w:t>.</w:t>
      </w:r>
      <w:r>
        <w:rPr>
          <w:rFonts w:hint="eastAsia" w:ascii="Times New Roman" w:hAnsi="Times New Roman" w:eastAsia="仿宋_GB2312" w:cs="Times New Roman"/>
          <w:sz w:val="28"/>
          <w:szCs w:val="28"/>
        </w:rPr>
        <w:t>公共管理学</w:t>
      </w:r>
      <w:r>
        <w:rPr>
          <w:rFonts w:ascii="Times New Roman" w:hAnsi="Times New Roman" w:eastAsia="仿宋_GB2312" w:cs="Times New Roman"/>
          <w:sz w:val="28"/>
          <w:szCs w:val="28"/>
        </w:rPr>
        <w:t>（第</w:t>
      </w:r>
      <w:r>
        <w:rPr>
          <w:rFonts w:hint="eastAsia" w:ascii="Times New Roman" w:hAnsi="Times New Roman" w:eastAsia="仿宋_GB2312" w:cs="Times New Roman"/>
          <w:sz w:val="28"/>
          <w:szCs w:val="28"/>
        </w:rPr>
        <w:t>三</w:t>
      </w:r>
      <w:r>
        <w:rPr>
          <w:rFonts w:ascii="Times New Roman" w:hAnsi="Times New Roman" w:eastAsia="仿宋_GB2312" w:cs="Times New Roman"/>
          <w:sz w:val="28"/>
          <w:szCs w:val="28"/>
        </w:rPr>
        <w:t>版）[M].</w:t>
      </w:r>
      <w:r>
        <w:rPr>
          <w:rFonts w:hint="eastAsia" w:ascii="Times New Roman" w:hAnsi="Times New Roman" w:eastAsia="仿宋_GB2312" w:cs="Times New Roman"/>
          <w:sz w:val="28"/>
          <w:szCs w:val="28"/>
        </w:rPr>
        <w:t>北京</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中国人民</w:t>
      </w:r>
      <w:r>
        <w:rPr>
          <w:rFonts w:ascii="Times New Roman" w:hAnsi="Times New Roman" w:eastAsia="仿宋_GB2312" w:cs="Times New Roman"/>
          <w:sz w:val="28"/>
          <w:szCs w:val="28"/>
        </w:rPr>
        <w:t>大学出版社，2022年</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rPr>
          <w:rFonts w:ascii="Times New Roman" w:hAnsi="Times New Roman" w:eastAsia="仿宋_GB2312" w:cs="Times New Roman"/>
          <w:sz w:val="28"/>
          <w:szCs w:val="28"/>
        </w:rPr>
      </w:pPr>
      <w:bookmarkStart w:id="0" w:name="_GoBack"/>
      <w:bookmarkEnd w:id="0"/>
      <w:r>
        <w:rPr>
          <w:rFonts w:ascii="Times New Roman" w:hAnsi="Times New Roman" w:eastAsia="仿宋_GB2312" w:cs="Times New Roman"/>
          <w:sz w:val="28"/>
          <w:szCs w:val="28"/>
        </w:rPr>
        <w:t>《社会保障概论》编写组.</w:t>
      </w:r>
      <w:r>
        <w:rPr>
          <w:rFonts w:hint="eastAsia" w:ascii="Times New Roman" w:hAnsi="Times New Roman" w:eastAsia="仿宋_GB2312" w:cs="Times New Roman"/>
          <w:sz w:val="28"/>
          <w:szCs w:val="28"/>
        </w:rPr>
        <w:t>社会保障</w:t>
      </w:r>
      <w:r>
        <w:rPr>
          <w:rFonts w:ascii="Times New Roman" w:hAnsi="Times New Roman" w:eastAsia="仿宋_GB2312" w:cs="Times New Roman"/>
          <w:sz w:val="28"/>
          <w:szCs w:val="28"/>
        </w:rPr>
        <w:t>概论（第</w:t>
      </w:r>
      <w:r>
        <w:rPr>
          <w:rFonts w:hint="eastAsia" w:ascii="Times New Roman" w:hAnsi="Times New Roman" w:eastAsia="仿宋_GB2312" w:cs="Times New Roman"/>
          <w:sz w:val="28"/>
          <w:szCs w:val="28"/>
        </w:rPr>
        <w:t>一</w:t>
      </w:r>
      <w:r>
        <w:rPr>
          <w:rFonts w:ascii="Times New Roman" w:hAnsi="Times New Roman" w:eastAsia="仿宋_GB2312" w:cs="Times New Roman"/>
          <w:sz w:val="28"/>
          <w:szCs w:val="28"/>
        </w:rPr>
        <w:t>版）[M].</w:t>
      </w:r>
      <w:r>
        <w:rPr>
          <w:rFonts w:hint="eastAsia" w:ascii="Times New Roman" w:hAnsi="Times New Roman" w:eastAsia="仿宋_GB2312" w:cs="Times New Roman"/>
          <w:sz w:val="28"/>
          <w:szCs w:val="28"/>
        </w:rPr>
        <w:t>北京</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高等教育</w:t>
      </w:r>
      <w:r>
        <w:rPr>
          <w:rFonts w:ascii="Times New Roman" w:hAnsi="Times New Roman" w:eastAsia="仿宋_GB2312" w:cs="Times New Roman"/>
          <w:sz w:val="28"/>
          <w:szCs w:val="28"/>
        </w:rPr>
        <w:t>出版社，201</w:t>
      </w:r>
      <w:r>
        <w:rPr>
          <w:rFonts w:hint="eastAsia" w:ascii="Times New Roman" w:hAnsi="Times New Roman" w:eastAsia="仿宋_GB2312" w:cs="Times New Roman"/>
          <w:sz w:val="28"/>
          <w:szCs w:val="28"/>
        </w:rPr>
        <w:t>9</w:t>
      </w:r>
      <w:r>
        <w:rPr>
          <w:rFonts w:ascii="Times New Roman" w:hAnsi="Times New Roman" w:eastAsia="仿宋_GB2312" w:cs="Times New Roman"/>
          <w:sz w:val="28"/>
          <w:szCs w:val="28"/>
        </w:rPr>
        <w:t>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CF8489"/>
    <w:multiLevelType w:val="singleLevel"/>
    <w:tmpl w:val="6ACF848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MzFmZDE5MmVjZDhlNzY5NDBlZjM0MmU0YzY2YmEifQ=="/>
    <w:docVar w:name="KSO_WPS_MARK_KEY" w:val="35934735-eb87-48f4-a262-33f2a7a03c7b"/>
  </w:docVars>
  <w:rsids>
    <w:rsidRoot w:val="32A61C82"/>
    <w:rsid w:val="004416C6"/>
    <w:rsid w:val="00604672"/>
    <w:rsid w:val="007213F2"/>
    <w:rsid w:val="00821BDC"/>
    <w:rsid w:val="009307C6"/>
    <w:rsid w:val="00D327D0"/>
    <w:rsid w:val="00F8365E"/>
    <w:rsid w:val="03C44108"/>
    <w:rsid w:val="08FA50E4"/>
    <w:rsid w:val="0F3020DD"/>
    <w:rsid w:val="11305B15"/>
    <w:rsid w:val="127D5AD6"/>
    <w:rsid w:val="139875D6"/>
    <w:rsid w:val="17461B3F"/>
    <w:rsid w:val="175E0B06"/>
    <w:rsid w:val="17770C34"/>
    <w:rsid w:val="1C4878E2"/>
    <w:rsid w:val="1D6F4A85"/>
    <w:rsid w:val="20234AC9"/>
    <w:rsid w:val="245E4322"/>
    <w:rsid w:val="264016A7"/>
    <w:rsid w:val="32A61C82"/>
    <w:rsid w:val="3731331D"/>
    <w:rsid w:val="3E390476"/>
    <w:rsid w:val="3E646B1C"/>
    <w:rsid w:val="414B7B86"/>
    <w:rsid w:val="4BD95ABB"/>
    <w:rsid w:val="4D702CA0"/>
    <w:rsid w:val="4F03554C"/>
    <w:rsid w:val="50D643AB"/>
    <w:rsid w:val="533D4D64"/>
    <w:rsid w:val="55FD133D"/>
    <w:rsid w:val="5AFB2EB5"/>
    <w:rsid w:val="5B0311A3"/>
    <w:rsid w:val="5B1A64ED"/>
    <w:rsid w:val="5D1A51AD"/>
    <w:rsid w:val="5F38424D"/>
    <w:rsid w:val="5F751F44"/>
    <w:rsid w:val="60B53A52"/>
    <w:rsid w:val="612C0D28"/>
    <w:rsid w:val="64C44B24"/>
    <w:rsid w:val="6C4E4249"/>
    <w:rsid w:val="77277B70"/>
    <w:rsid w:val="78617B3F"/>
    <w:rsid w:val="7E096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Times New Roman"/>
      <w:kern w:val="0"/>
      <w:sz w:val="20"/>
      <w:szCs w:val="20"/>
    </w:rPr>
  </w:style>
  <w:style w:type="paragraph" w:styleId="4">
    <w:name w:val="Normal (Web)"/>
    <w:basedOn w:val="1"/>
    <w:qFormat/>
    <w:uiPriority w:val="0"/>
    <w:pPr>
      <w:spacing w:before="100" w:beforeAutospacing="1" w:after="100" w:afterAutospacing="1"/>
      <w:jc w:val="left"/>
    </w:pPr>
    <w:rPr>
      <w:rFonts w:cs="Times New Roman"/>
      <w:kern w:val="0"/>
      <w:sz w:val="24"/>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4486</Words>
  <Characters>4532</Characters>
  <Lines>33</Lines>
  <Paragraphs>9</Paragraphs>
  <TotalTime>5</TotalTime>
  <ScaleCrop>false</ScaleCrop>
  <LinksUpToDate>false</LinksUpToDate>
  <CharactersWithSpaces>4541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2024-03-06T09:20:00Z</dcterms:created>
  <dc:creator>胜哥</dc:creator>
  <cp:lastModifiedBy>三毛快印-店内营业微信</cp:lastModifiedBy>
  <cp:lastPrinted>2024-03-07T00:50:00Z</cp:lastPrinted>
  <dcterms:modified xsi:type="dcterms:W3CDTF">2024-03-12T09:16:05Z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9F57730014684D32A2F274F3CF52E947_13</vt:lpwstr>
  </property>
</Properties>
</file>