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黑体" w:hAnsi="黑体" w:eastAsia="黑体" w:cs="黑体"/>
          <w:b w:val="0"/>
          <w:bCs w:val="0"/>
          <w:spacing w:val="-6"/>
          <w:sz w:val="36"/>
          <w:szCs w:val="36"/>
          <w:lang w:val="en-US" w:eastAsia="zh-CN"/>
        </w:rPr>
      </w:pPr>
      <w:r>
        <w:rPr>
          <w:rFonts w:hint="eastAsia" w:ascii="黑体" w:hAnsi="黑体" w:eastAsia="黑体" w:cs="黑体"/>
          <w:b w:val="0"/>
          <w:bCs w:val="0"/>
          <w:spacing w:val="-6"/>
          <w:sz w:val="36"/>
          <w:szCs w:val="36"/>
          <w:lang w:val="en-US" w:eastAsia="zh-CN"/>
        </w:rPr>
        <w:t>2024年湖南财政经济学院专升本国际经济与贸易专业</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黑体" w:hAnsi="黑体" w:eastAsia="黑体" w:cs="黑体"/>
          <w:sz w:val="36"/>
          <w:szCs w:val="36"/>
        </w:rPr>
      </w:pPr>
      <w:r>
        <w:rPr>
          <w:rFonts w:hint="eastAsia" w:ascii="黑体" w:hAnsi="黑体" w:eastAsia="黑体" w:cs="黑体"/>
          <w:sz w:val="36"/>
          <w:szCs w:val="36"/>
        </w:rPr>
        <w:t>《</w:t>
      </w:r>
      <w:r>
        <w:rPr>
          <w:rFonts w:hint="eastAsia" w:ascii="黑体" w:hAnsi="黑体" w:eastAsia="黑体" w:cs="黑体"/>
          <w:sz w:val="36"/>
          <w:szCs w:val="36"/>
          <w:lang w:val="en-US" w:eastAsia="zh-CN"/>
        </w:rPr>
        <w:t>国际经济与贸易综合</w:t>
      </w:r>
      <w:r>
        <w:rPr>
          <w:rFonts w:hint="eastAsia" w:ascii="黑体" w:hAnsi="黑体" w:eastAsia="黑体" w:cs="黑体"/>
          <w:sz w:val="36"/>
          <w:szCs w:val="36"/>
        </w:rPr>
        <w:t>》科目考核大纲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A部分  西方经济学</w:t>
      </w:r>
    </w:p>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一、考核目标</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西方经济学的考试涵盖微观经济学和宏观经济学内容，课程考核要求考生：1．准确、恰当地使用本学科的专业术语，正确理解、掌握和再现学科的有关概念、原理和规律。2．熟练地掌握本学科基本原理和方法，</w:t>
      </w:r>
      <w:r>
        <w:rPr>
          <w:rFonts w:hint="eastAsia" w:ascii="仿宋_GB2312" w:hAnsi="仿宋_GB2312" w:eastAsia="仿宋_GB2312" w:cs="仿宋_GB2312"/>
          <w:color w:val="000000"/>
          <w:sz w:val="28"/>
          <w:szCs w:val="28"/>
        </w:rPr>
        <w:t>能初步应用所学原理和方法分析</w:t>
      </w:r>
      <w:r>
        <w:rPr>
          <w:rFonts w:hint="eastAsia" w:ascii="仿宋_GB2312" w:hAnsi="仿宋_GB2312" w:eastAsia="仿宋_GB2312" w:cs="仿宋_GB2312"/>
          <w:sz w:val="28"/>
          <w:szCs w:val="28"/>
        </w:rPr>
        <w:t>有关理论问题和实际问题。</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二、考核内容</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考核知识点一：经济学的研究对象和研究方法</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识记：什么是西方经济学，西方经济学的研究对象，西方经济学的研究方法，资源稀缺性的概念； </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 xml:space="preserve">掌握：规范分析和实证分析的区别。    </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考核知识点二：需求、供给和均衡价格</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识记：需求、供给、均衡价格，需求弹性、供给弹性，支持价格和限制价格；</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掌握：需求变动与需求量变动的区别，供给变动和供给量变动的区别；需求定理；供给定理；需求弹性和销售收入的关系。</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应用：运用均衡原理、供求规律和弹性理论解答相关计算题和问答题。</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考核知识点三：消费者选择</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识记：效用、边际效用、无差异曲线、预算线、消费者剩余、恩格尔曲线、正常品与低档品的经济学概念；</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掌握：边际效用递减规律，总效用和边际效用的关系，无差异曲线分析方法，消费者均衡实现的条件，价格变动的替代效应和收入效应;</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应用：运用消费者均衡原理解答相关计算题和问答题。</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考核知识点四：企业的短期生产与长期生产</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识记：生产函数，短期生产与长期生产，总产量、平均产量和边际产量，等产量曲线、规模报酬；</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掌握：边际报酬递减规律，总产量曲线、平均产量曲线和边际产量曲线相互之间的关系， 生产三个阶段的划分以及生产要素合理投入区域的确定，等产量曲线分析方法，生产要素的最优组合；</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应用：运用总产量、边际产量和平均产量曲线相互之间的关系以及生产要素合理投入区域等原理解答相关计算题和问答题。</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考核知识点五：企业的短期成本和长期成本</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识记：机会成本，显性成本和隐性成本， 固定成本和可变成本，边际成本，等成本线；</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掌握：短期成本函数与长期成本函数，STC、FC、VC、AFC、AVC、AC、SMC曲线的基本形状及其相互之间关系，边际报酬递减规律，LTC、LAC、LMC曲线的形状与关系；</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应用：运用成本函数等原理解答相关计算题和问答题。</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考核知识点六：完全竞争市场</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识记：市场的四个类型，完全竞争市场的特点，利润最大化的原则；</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掌握：完全竞争厂商与市场的需求曲线和收益曲线、供给曲线,完全竞争市场的短期均衡与长期均衡；</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应用：运用完全竞争厂商的短期均衡与长期均衡原理解答相关问答题和计算题。</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考核知识点七：不完全竞争市场</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识记：垄断的概念，垄断竞争市场的含义和特点，不同市场组织的经济效率，垄断企业的短期均衡和长期均衡的条件，垄断竞争企业的短期均衡和长期均衡的条件；</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掌握：垄断企业的短期均衡和长期均衡，垄断竞争企业的短期均衡和长期均衡；</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应用：运用不完全竞争市场的均衡原理解答相关问答题。</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考核知识点八：生产要素市场和收入分配</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识记：要素的边际生产力、边际产品价值，工资、地租、利息；</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掌握：完全竞争厂商使用要素的基本原则，各种要素均衡价格的决定；</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应用：运用要素市场和收入分配原理分析现实问题。</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考核知识点九：市场失灵和微观经济政策</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识记：市场失灵的表现，垄断、外部性、公共物品的经济学概念；</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掌握：市场失灵的原因、种类、解决方式；</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应用：运用市场失灵和微观经济政策原理分析现实问题。</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考核知识点十：宏观经济的基本指标及其衡量</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识记：国内生产总值的概念，GDP指标的各种相关指标定义，消费价格指数，通货膨胀，失业率，充分就业和自然失业率的含义；</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掌握：GDP及其各相关指标的计算，支出法核算GDP，失业的分类；实际GDP、名义GDP及通货膨胀率的计算；</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应用：运用国内生产总值的概念和测算方法解答相关计算题和问答题。</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考核知识点十一：国民均衡收入的决定：收入-支出模型</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识记：均衡产出，消费函数和储蓄函数，平均消费倾向和边际消费倾向的概念，投资函数；乘数的概念，乘数和边际消费倾向的关系；</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掌握：凯恩斯的消费理论，乘数理论；</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应用：各因素变动对均衡国民收入的乘数效应以及乘数效应发挥作用的条件。</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考核知识点十二：国民均衡收入的决定：IS-LM模型</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识记：IS曲线的含义及IS曲线斜率，货币需求的三个动机和货币需求函数，流动性陷阱，货币市场的均衡与利率的决定，LM曲线的含义及LM曲线斜率，LM曲线的三个区域；</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掌握：IS曲线（即产品市场均衡）和LM曲线（即货币市场的均衡），IS曲线和LM曲线的移动及IS-LM模型（即产品市场和货币市场的一般均衡），产品市场和货币市场的非均衡；</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应用：理解IS曲线和LM曲线移动对均衡收入变动的影响，为分析宏观经济政策做准备。</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考核知识点十三：国民均衡收入的决定：AD-AS模型</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识记：总需求曲线，价格变动的三个效应，长期和短期在国民收入决定中的特殊含义，古典总供给曲线、凯恩斯总供给曲线、常规总供给曲线的含义；</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掌握：总需求和总供给的基本原理，总需求-总供给模型对现实的解释；</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应用：以凯恩斯总供给曲线、短期总供给曲线和长期总供给曲线的基本原理为分析工具，解释宏观经济学中的一些重大经济问题。</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考核知识点十四：失业、通货膨胀和经济周期</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识记：失业和通货膨胀的概念，通货膨胀的类型，失业的经济学解释；经济周期的含义和阶段。</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掌握：奥肯定律，通货膨胀的原因和影响，失业与通货膨胀的关系；</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应用：运用有关失业和通货膨胀的基本知识，理解失业和通货膨胀之间的关系，分析通货膨胀的原因和成本以及治理通货膨胀的一般政策措施。</w:t>
      </w: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考核知识点十五：宏观经济政策</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识记：宏观调控的四大政策目标，财政政策和货币政策的含义和工具，挤出效应的含义；</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掌握：不同时期财政政策和货币政策的运用；</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应用：运用所学原理分析经济政策的运用和效果。</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三、课程考核实施要求</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1、考核方式</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本命题考试为专升本学生适用，考核方式为闭卷笔试。</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2、考试命题</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（1）考核大纲命题内容应覆盖教材的主要内容。</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（2）科目分值：满分值100分。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（3）考试题型包括以下五种类型：选择题、名词解释题、判断题、简答题以及计算题。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3、考试时长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color w:val="auto"/>
          <w:sz w:val="28"/>
          <w:szCs w:val="28"/>
          <w:lang w:val="en-US" w:eastAsia="zh-CN"/>
        </w:rPr>
        <w:t>A部分《西方经济学》与B部分《国际贸易学》两部分考试时长共计150分钟。</w:t>
      </w:r>
      <w:bookmarkStart w:id="0" w:name="_GoBack"/>
      <w:bookmarkEnd w:id="0"/>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四、教材和参考书</w:t>
      </w:r>
    </w:p>
    <w:p>
      <w:pPr>
        <w:pStyle w:val="2"/>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1、教材</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《西方经济学》编写组.马克思理论研究与建设重点教材《西方经济学（上下册）》[M].北京：高等教育出版社&amp;人民出版社，2019（第二版）.</w:t>
      </w:r>
    </w:p>
    <w:p>
      <w:pPr>
        <w:pStyle w:val="2"/>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2、参考书目</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36"/>
          <w:szCs w:val="36"/>
          <w:lang w:val="en-US" w:eastAsia="zh-CN"/>
        </w:rPr>
      </w:pPr>
      <w:r>
        <w:rPr>
          <w:rFonts w:hint="eastAsia" w:ascii="仿宋_GB2312" w:hAnsi="仿宋_GB2312" w:eastAsia="仿宋_GB2312" w:cs="仿宋_GB2312"/>
          <w:sz w:val="28"/>
          <w:szCs w:val="28"/>
        </w:rPr>
        <w:t>高鸿业.《西方经济学（微观部分）+（宏观部分）》[M].北京：中国人民大学出版社，2021（第八版）.</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B部分  国际贸易学</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28"/>
          <w:szCs w:val="28"/>
          <w:lang w:eastAsia="zh-CN"/>
        </w:rPr>
      </w:pPr>
      <w:r>
        <w:rPr>
          <w:rFonts w:hint="eastAsia" w:ascii="黑体" w:hAnsi="黑体" w:eastAsia="黑体" w:cs="黑体"/>
          <w:sz w:val="28"/>
          <w:szCs w:val="28"/>
          <w:lang w:val="en-US" w:eastAsia="zh-CN"/>
        </w:rPr>
        <w:t>一、</w:t>
      </w:r>
      <w:r>
        <w:rPr>
          <w:rFonts w:hint="eastAsia" w:ascii="黑体" w:hAnsi="黑体" w:eastAsia="黑体" w:cs="黑体"/>
          <w:sz w:val="28"/>
          <w:szCs w:val="28"/>
        </w:rPr>
        <w:t>考核目标</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理解和掌握国际贸易的基本概念、基本理论和基本方法、基本规则和主要政策措施，能运用国际贸易的知识进行外经贸形势和案例分析，具备分析问题和解决问题的基本能力。本大纲的考核要求分为“识记”、“掌握”、“应用分析”三个层次，具体含义是：</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识记：能解释有关的概念、知识的含义，并能正确认识和表述。</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掌握：在识记的基础上，能全面把握基本概念、基本原理、基本方法，能掌握有关概念、原理、方法的区别与联系。</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应用：在理解的基础上，能运用基本概念、基本原理、基本方法分析和解决有关的理论问题和实际问题。</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28"/>
          <w:szCs w:val="28"/>
          <w:lang w:eastAsia="zh-CN"/>
        </w:rPr>
      </w:pPr>
      <w:r>
        <w:rPr>
          <w:rFonts w:hint="eastAsia" w:ascii="黑体" w:hAnsi="黑体" w:eastAsia="黑体" w:cs="黑体"/>
          <w:sz w:val="28"/>
          <w:szCs w:val="28"/>
        </w:rPr>
        <w:t>二、考核内容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第1章  导论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考核知识点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l、国际贸易的基本概念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2、国际贸易的主要类别</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3、国际贸易的产生与发展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1、识记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(1)国际贸易与对外贸易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(2)进口与出口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(3)总贸易体系与专门贸易体系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(4)对外贸易额和对外贸易量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(5)贸易条件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(6)贸易差额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(7)对外贸易与国际贸易商品结构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(8)对外贸易与国际贸易地理方向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(9)对外贸易依存度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(10)有形贸易与无形贸易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(11)直接贸易、间接贸易与转口贸易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(12)双边贸易和多边贸易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 2、掌握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 (1)国际贸易的产生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 (2)奴隶社会、封建社会和资本主义社会的国际贸易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 (3)第二次世界大战以后的国际贸易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 (4)经济全球化时代的国际贸易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 3、应用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 (1)解释国际贸易基本概念所揭示的贸易现状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 (2)分析国际贸易发展阶段</w:t>
      </w:r>
      <w:r>
        <w:rPr>
          <w:rFonts w:hint="eastAsia" w:ascii="仿宋_GB2312" w:hAnsi="仿宋_GB2312" w:eastAsia="仿宋_GB2312" w:cs="仿宋_GB2312"/>
          <w:color w:val="auto"/>
          <w:sz w:val="28"/>
          <w:szCs w:val="28"/>
          <w:lang w:val="en-US" w:eastAsia="zh-CN"/>
        </w:rPr>
        <w:t>及</w:t>
      </w:r>
      <w:r>
        <w:rPr>
          <w:rFonts w:hint="eastAsia" w:ascii="仿宋_GB2312" w:hAnsi="仿宋_GB2312" w:eastAsia="仿宋_GB2312" w:cs="仿宋_GB2312"/>
          <w:color w:val="auto"/>
          <w:sz w:val="28"/>
          <w:szCs w:val="28"/>
          <w:highlight w:val="none"/>
          <w:lang w:eastAsia="zh-CN"/>
        </w:rPr>
        <w:t>影响因素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第2章  国际分工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考核知识点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1、国际分工的产生与发展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2、当代国际分工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3、国际分工的发展条件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考核要求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1、识记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 国际分工的概念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 国际分工的形式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2、掌握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(1) 国际分工的作用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(2) 国际分工的发展条件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3、应用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分析国际分工对国际贸易的影响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第</w:t>
      </w:r>
      <w:r>
        <w:rPr>
          <w:rFonts w:hint="eastAsia" w:ascii="仿宋_GB2312" w:hAnsi="仿宋_GB2312" w:eastAsia="仿宋_GB2312" w:cs="仿宋_GB2312"/>
          <w:b/>
          <w:bCs/>
          <w:color w:val="auto"/>
          <w:sz w:val="28"/>
          <w:szCs w:val="28"/>
          <w:lang w:val="en-US" w:eastAsia="zh-CN"/>
        </w:rPr>
        <w:t>3</w:t>
      </w:r>
      <w:r>
        <w:rPr>
          <w:rFonts w:hint="eastAsia" w:ascii="仿宋_GB2312" w:hAnsi="仿宋_GB2312" w:eastAsia="仿宋_GB2312" w:cs="仿宋_GB2312"/>
          <w:b/>
          <w:bCs/>
          <w:color w:val="auto"/>
          <w:sz w:val="28"/>
          <w:szCs w:val="28"/>
          <w:lang w:eastAsia="zh-CN"/>
        </w:rPr>
        <w:t>章  自由贸易理论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考核知识点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1、绝对优势理论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2、比较优势理论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3、相互需求理论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4、要素禀赋理论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1、识记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(1)绝对优势理论和比较优势理论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 相互需求理论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 赫克歇尔一俄林定理、要素价格均等化定理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 里昂惕夫之谜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2、掌握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(1)大卫．李嘉图理论的主要内容、理论价值、局限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(2)相互需求理论与提供曲线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(3)要素禀赋理论的基本内容并予以评价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(4)对里昂惕夫之谜的解释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3、应用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解释国际贸易产生、发展的原因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第</w:t>
      </w:r>
      <w:r>
        <w:rPr>
          <w:rFonts w:hint="eastAsia" w:ascii="仿宋_GB2312" w:hAnsi="仿宋_GB2312" w:eastAsia="仿宋_GB2312" w:cs="仿宋_GB2312"/>
          <w:b/>
          <w:bCs/>
          <w:color w:val="auto"/>
          <w:sz w:val="28"/>
          <w:szCs w:val="28"/>
          <w:lang w:val="en-US" w:eastAsia="zh-CN"/>
        </w:rPr>
        <w:t>4</w:t>
      </w:r>
      <w:r>
        <w:rPr>
          <w:rFonts w:hint="eastAsia" w:ascii="仿宋_GB2312" w:hAnsi="仿宋_GB2312" w:eastAsia="仿宋_GB2312" w:cs="仿宋_GB2312"/>
          <w:b/>
          <w:bCs/>
          <w:color w:val="auto"/>
          <w:sz w:val="28"/>
          <w:szCs w:val="28"/>
          <w:lang w:eastAsia="zh-CN"/>
        </w:rPr>
        <w:t>章  保护贸易理论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考核知识点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1、重商主义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2、保护关税论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3、保护幼稚工业论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4、超保护贸易论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5、中心－外围论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1、识记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 重商主义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 保护幼稚工业论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 对外贸易乘数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 “中心－外围”论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2、掌握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 早、晚期重商主义的异同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 保护幼稚工业论的合理性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 超保护贸易理论的主要内容及拓展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lang w:eastAsia="zh-CN"/>
        </w:rPr>
        <w:t>普雷维什的“中心－外围”的核心思想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3、应用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(1)解释保护幼稚工业贸易理论及对其的评价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(2)分析一国对外贸易将会对本国国民收入产生的影响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第</w:t>
      </w:r>
      <w:r>
        <w:rPr>
          <w:rFonts w:hint="eastAsia" w:ascii="仿宋_GB2312" w:hAnsi="仿宋_GB2312" w:eastAsia="仿宋_GB2312" w:cs="仿宋_GB2312"/>
          <w:b/>
          <w:bCs/>
          <w:color w:val="auto"/>
          <w:sz w:val="28"/>
          <w:szCs w:val="28"/>
          <w:lang w:val="en-US" w:eastAsia="zh-CN"/>
        </w:rPr>
        <w:t>5</w:t>
      </w:r>
      <w:r>
        <w:rPr>
          <w:rFonts w:hint="eastAsia" w:ascii="仿宋_GB2312" w:hAnsi="仿宋_GB2312" w:eastAsia="仿宋_GB2312" w:cs="仿宋_GB2312"/>
          <w:b/>
          <w:bCs/>
          <w:color w:val="auto"/>
          <w:sz w:val="28"/>
          <w:szCs w:val="28"/>
          <w:lang w:eastAsia="zh-CN"/>
        </w:rPr>
        <w:t>章  国际贸易理论的新发展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考核知识点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1、规模经济理论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2、产品生命周期理论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3、产业内贸易理论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4、国家竞争优势理论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1、识记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 内部规模经济、外部规模经济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 产品生命周期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 产业内贸易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(4) </w:t>
      </w:r>
      <w:r>
        <w:rPr>
          <w:rFonts w:hint="eastAsia" w:ascii="仿宋_GB2312" w:hAnsi="仿宋_GB2312" w:eastAsia="仿宋_GB2312" w:cs="仿宋_GB2312"/>
          <w:color w:val="auto"/>
          <w:sz w:val="28"/>
          <w:szCs w:val="28"/>
          <w:lang w:val="en-US" w:eastAsia="zh-CN"/>
        </w:rPr>
        <w:t>国家</w:t>
      </w:r>
      <w:r>
        <w:rPr>
          <w:rFonts w:hint="eastAsia" w:ascii="仿宋_GB2312" w:hAnsi="仿宋_GB2312" w:eastAsia="仿宋_GB2312" w:cs="仿宋_GB2312"/>
          <w:color w:val="auto"/>
          <w:sz w:val="28"/>
          <w:szCs w:val="28"/>
          <w:lang w:eastAsia="zh-CN"/>
        </w:rPr>
        <w:t>竞争优势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2、掌握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 规模报酬递增理论的主要内容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 产品生命周期理论的主要内容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 产业内贸易与产品内贸易的关系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(4)“钻石”理论的基本观点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3、应用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36" w:firstLineChars="200"/>
        <w:jc w:val="both"/>
        <w:textAlignment w:val="auto"/>
        <w:rPr>
          <w:rFonts w:hint="eastAsia" w:ascii="仿宋_GB2312" w:hAnsi="仿宋_GB2312" w:eastAsia="仿宋_GB2312" w:cs="仿宋_GB2312"/>
          <w:color w:val="auto"/>
          <w:spacing w:val="-6"/>
          <w:sz w:val="28"/>
          <w:szCs w:val="28"/>
          <w:lang w:eastAsia="zh-CN"/>
        </w:rPr>
      </w:pPr>
      <w:r>
        <w:rPr>
          <w:rFonts w:hint="eastAsia" w:ascii="仿宋_GB2312" w:hAnsi="仿宋_GB2312" w:eastAsia="仿宋_GB2312" w:cs="仿宋_GB2312"/>
          <w:color w:val="auto"/>
          <w:spacing w:val="-6"/>
          <w:sz w:val="28"/>
          <w:szCs w:val="28"/>
          <w:lang w:eastAsia="zh-CN"/>
        </w:rPr>
        <w:t>(1) 利用产业内贸易理论分析第二次世界大战后的美日汽车贸易</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 分析中国如何利用国家竞争优势理论增强国际竞争力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第</w:t>
      </w:r>
      <w:r>
        <w:rPr>
          <w:rFonts w:hint="eastAsia" w:ascii="仿宋_GB2312" w:hAnsi="仿宋_GB2312" w:eastAsia="仿宋_GB2312" w:cs="仿宋_GB2312"/>
          <w:b/>
          <w:bCs/>
          <w:color w:val="auto"/>
          <w:sz w:val="28"/>
          <w:szCs w:val="28"/>
          <w:lang w:val="en-US" w:eastAsia="zh-CN"/>
        </w:rPr>
        <w:t>6</w:t>
      </w:r>
      <w:r>
        <w:rPr>
          <w:rFonts w:hint="eastAsia" w:ascii="仿宋_GB2312" w:hAnsi="仿宋_GB2312" w:eastAsia="仿宋_GB2312" w:cs="仿宋_GB2312"/>
          <w:b/>
          <w:bCs/>
          <w:color w:val="auto"/>
          <w:sz w:val="28"/>
          <w:szCs w:val="28"/>
          <w:lang w:eastAsia="zh-CN"/>
        </w:rPr>
        <w:t>章  国际贸易政策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考核知识点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1、国际贸易政策的构成和历史演变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2、发达国家与发展中国家的贸易政策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1、识记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(1)对外贸易政策的构成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(2)影响对外贸易政策制定的因素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(3)国际贸易政策演变的重要阶段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2、掌握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(1)制定对外贸易政策的目的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(2)国际贸易政策变化的原因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(3)发达国家外贸政策的发展趋势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(4)各种贸易政策的区别和联系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3、应用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评价各种</w:t>
      </w:r>
      <w:r>
        <w:rPr>
          <w:rFonts w:hint="eastAsia" w:ascii="仿宋_GB2312" w:hAnsi="仿宋_GB2312" w:eastAsia="仿宋_GB2312" w:cs="仿宋_GB2312"/>
          <w:color w:val="auto"/>
          <w:sz w:val="28"/>
          <w:szCs w:val="28"/>
          <w:lang w:val="en-US" w:eastAsia="zh-CN"/>
        </w:rPr>
        <w:t>国际</w:t>
      </w:r>
      <w:r>
        <w:rPr>
          <w:rFonts w:hint="eastAsia" w:ascii="仿宋_GB2312" w:hAnsi="仿宋_GB2312" w:eastAsia="仿宋_GB2312" w:cs="仿宋_GB2312"/>
          <w:color w:val="auto"/>
          <w:sz w:val="28"/>
          <w:szCs w:val="28"/>
          <w:lang w:eastAsia="zh-CN"/>
        </w:rPr>
        <w:t>贸易政策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第</w:t>
      </w:r>
      <w:r>
        <w:rPr>
          <w:rFonts w:hint="eastAsia" w:ascii="仿宋_GB2312" w:hAnsi="仿宋_GB2312" w:eastAsia="仿宋_GB2312" w:cs="仿宋_GB2312"/>
          <w:b/>
          <w:bCs/>
          <w:color w:val="auto"/>
          <w:sz w:val="28"/>
          <w:szCs w:val="28"/>
          <w:lang w:val="en-US" w:eastAsia="zh-CN"/>
        </w:rPr>
        <w:t>7</w:t>
      </w:r>
      <w:r>
        <w:rPr>
          <w:rFonts w:hint="eastAsia" w:ascii="仿宋_GB2312" w:hAnsi="仿宋_GB2312" w:eastAsia="仿宋_GB2312" w:cs="仿宋_GB2312"/>
          <w:b/>
          <w:bCs/>
          <w:color w:val="auto"/>
          <w:sz w:val="28"/>
          <w:szCs w:val="28"/>
          <w:lang w:eastAsia="zh-CN"/>
        </w:rPr>
        <w:t xml:space="preserve">章  </w:t>
      </w:r>
      <w:r>
        <w:rPr>
          <w:rFonts w:hint="eastAsia" w:ascii="仿宋_GB2312" w:hAnsi="仿宋_GB2312" w:eastAsia="仿宋_GB2312" w:cs="仿宋_GB2312"/>
          <w:b/>
          <w:bCs/>
          <w:color w:val="auto"/>
          <w:sz w:val="28"/>
          <w:szCs w:val="28"/>
          <w:lang w:val="en-US" w:eastAsia="zh-CN"/>
        </w:rPr>
        <w:t>国际贸易措施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考核知识点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1、关税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2、非关税壁垒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3、新</w:t>
      </w:r>
      <w:r>
        <w:rPr>
          <w:rFonts w:hint="eastAsia" w:ascii="仿宋_GB2312" w:hAnsi="仿宋_GB2312" w:eastAsia="仿宋_GB2312" w:cs="仿宋_GB2312"/>
          <w:color w:val="auto"/>
          <w:sz w:val="28"/>
          <w:szCs w:val="28"/>
          <w:lang w:val="en-US" w:eastAsia="zh-CN"/>
        </w:rPr>
        <w:t>型</w:t>
      </w:r>
      <w:r>
        <w:rPr>
          <w:rFonts w:hint="eastAsia" w:ascii="仿宋_GB2312" w:hAnsi="仿宋_GB2312" w:eastAsia="仿宋_GB2312" w:cs="仿宋_GB2312"/>
          <w:color w:val="auto"/>
          <w:sz w:val="28"/>
          <w:szCs w:val="28"/>
          <w:lang w:eastAsia="zh-CN"/>
        </w:rPr>
        <w:t>贸易壁垒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4、出口鼓励与出口管制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1、识记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(1)进口税、出口税、过境税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(2)财政关税、保护关税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(3)进口附加税、差价税、特惠税、普惠制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(4)从量税、从价税、混合税、选择税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(5)名义关税与有效关税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(6)进口配额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(7)“自动”出口配额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(8)进口许可证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(9)外汇管制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(10)通关环节壁垒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(11)技术壁垒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(12)环境壁垒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(13)社会壁垒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(14)出口信贷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(15)出口补贴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(16)外汇倾销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(17)自由贸易区、保税区、出口加工区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(18)出口管制的商品和形式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2、掌握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(1)关税的含义、特点、作用和种类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(2)非关税壁垒的特点和主要种类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(3)新</w:t>
      </w:r>
      <w:r>
        <w:rPr>
          <w:rFonts w:hint="eastAsia" w:ascii="仿宋_GB2312" w:hAnsi="仿宋_GB2312" w:eastAsia="仿宋_GB2312" w:cs="仿宋_GB2312"/>
          <w:color w:val="auto"/>
          <w:sz w:val="28"/>
          <w:szCs w:val="28"/>
          <w:lang w:val="en-US" w:eastAsia="zh-CN"/>
        </w:rPr>
        <w:t>型</w:t>
      </w:r>
      <w:r>
        <w:rPr>
          <w:rFonts w:hint="eastAsia" w:ascii="仿宋_GB2312" w:hAnsi="仿宋_GB2312" w:eastAsia="仿宋_GB2312" w:cs="仿宋_GB2312"/>
          <w:color w:val="auto"/>
          <w:sz w:val="28"/>
          <w:szCs w:val="28"/>
          <w:lang w:eastAsia="zh-CN"/>
        </w:rPr>
        <w:t>贸易壁垒产生的原因、特点、内容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(4)各种出口鼓励和出口管制的措施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3、应用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分析贸易措施的形成原因、特点、作用和效果</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公平贸易制度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考核知识点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1、反倾销制度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2、反补贴制度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3、保障措施制度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1、识记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(1)倾销的定义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(2)反倾销调查和反倾销措施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(3)补贴的含义和种类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(4)反补贴调查和反补贴措施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(5)保障措施规则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(6)保障措施调查和保障措施的实施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2、掌握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(1)构成倾销的条件和实施反倾销的程序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(2)中国频遭国外反倾销的特点和原因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(3)各国补贴政策的比较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(4)保障措施与反倾销、反补贴措施的比较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(5)中国出口遭遇保障措施的特点和原因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3、应用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(1)根据规则分析公平贸易制度的实施条件与合理性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(2)分析反倾销、保障措施对我国</w:t>
      </w:r>
      <w:r>
        <w:rPr>
          <w:rFonts w:hint="eastAsia" w:ascii="仿宋_GB2312" w:hAnsi="仿宋_GB2312" w:eastAsia="仿宋_GB2312" w:cs="仿宋_GB2312"/>
          <w:color w:val="auto"/>
          <w:sz w:val="28"/>
          <w:szCs w:val="28"/>
          <w:lang w:val="en-US" w:eastAsia="zh-CN"/>
        </w:rPr>
        <w:t>对</w:t>
      </w:r>
      <w:r>
        <w:rPr>
          <w:rFonts w:hint="eastAsia" w:ascii="仿宋_GB2312" w:hAnsi="仿宋_GB2312" w:eastAsia="仿宋_GB2312" w:cs="仿宋_GB2312"/>
          <w:color w:val="auto"/>
          <w:sz w:val="28"/>
          <w:szCs w:val="28"/>
          <w:lang w:eastAsia="zh-CN"/>
        </w:rPr>
        <w:t>外贸</w:t>
      </w:r>
      <w:r>
        <w:rPr>
          <w:rFonts w:hint="eastAsia" w:ascii="仿宋_GB2312" w:hAnsi="仿宋_GB2312" w:eastAsia="仿宋_GB2312" w:cs="仿宋_GB2312"/>
          <w:color w:val="auto"/>
          <w:sz w:val="28"/>
          <w:szCs w:val="28"/>
          <w:lang w:val="en-US" w:eastAsia="zh-CN"/>
        </w:rPr>
        <w:t>易</w:t>
      </w:r>
      <w:r>
        <w:rPr>
          <w:rFonts w:hint="eastAsia" w:ascii="仿宋_GB2312" w:hAnsi="仿宋_GB2312" w:eastAsia="仿宋_GB2312" w:cs="仿宋_GB2312"/>
          <w:color w:val="auto"/>
          <w:sz w:val="28"/>
          <w:szCs w:val="28"/>
          <w:lang w:eastAsia="zh-CN"/>
        </w:rPr>
        <w:t>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第</w:t>
      </w:r>
      <w:r>
        <w:rPr>
          <w:rFonts w:hint="eastAsia" w:ascii="仿宋_GB2312" w:hAnsi="仿宋_GB2312" w:eastAsia="仿宋_GB2312" w:cs="仿宋_GB2312"/>
          <w:b/>
          <w:bCs/>
          <w:color w:val="auto"/>
          <w:sz w:val="28"/>
          <w:szCs w:val="28"/>
          <w:lang w:val="en-US" w:eastAsia="zh-CN"/>
        </w:rPr>
        <w:t>9</w:t>
      </w:r>
      <w:r>
        <w:rPr>
          <w:rFonts w:hint="eastAsia" w:ascii="仿宋_GB2312" w:hAnsi="仿宋_GB2312" w:eastAsia="仿宋_GB2312" w:cs="仿宋_GB2312"/>
          <w:b/>
          <w:bCs/>
          <w:color w:val="auto"/>
          <w:sz w:val="28"/>
          <w:szCs w:val="28"/>
          <w:lang w:eastAsia="zh-CN"/>
        </w:rPr>
        <w:t>章  区域经济一体化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考核知识点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1、区域经济一体化的含义和形式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2、区域经济一体化的产生和发展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3、区域经济一体化理论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4、主要区域经济一体化组织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1、识记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(1)区域经济一体化的概念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(2)区域经济一体化的发展阶段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(3)关税同盟理论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(4)大市场理论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2、掌握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(1)区域经济一体化的分类标准和基本类型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(2)关税同盟的静态效应和动态效应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3、应用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运用理论分析区域经济一体化发展的原因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第1</w:t>
      </w:r>
      <w:r>
        <w:rPr>
          <w:rFonts w:hint="eastAsia" w:ascii="仿宋_GB2312" w:hAnsi="仿宋_GB2312" w:eastAsia="仿宋_GB2312" w:cs="仿宋_GB2312"/>
          <w:b/>
          <w:bCs/>
          <w:color w:val="auto"/>
          <w:sz w:val="28"/>
          <w:szCs w:val="28"/>
          <w:lang w:val="en-US" w:eastAsia="zh-CN"/>
        </w:rPr>
        <w:t>0</w:t>
      </w:r>
      <w:r>
        <w:rPr>
          <w:rFonts w:hint="eastAsia" w:ascii="仿宋_GB2312" w:hAnsi="仿宋_GB2312" w:eastAsia="仿宋_GB2312" w:cs="仿宋_GB2312"/>
          <w:b/>
          <w:bCs/>
          <w:color w:val="auto"/>
          <w:sz w:val="28"/>
          <w:szCs w:val="28"/>
          <w:lang w:eastAsia="zh-CN"/>
        </w:rPr>
        <w:t>章  世界贸易组织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考核知识点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1、WT0的发展历程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2、WT0的宗旨、职能、原则及其组织机构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考核要求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1、识记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(1)WTO基本原则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(2)WTO的宗旨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(3)WTO的组织机构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2、掌握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WT0的法律文件体系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3、应用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WTO规则对我国开展</w:t>
      </w:r>
      <w:r>
        <w:rPr>
          <w:rFonts w:hint="eastAsia" w:ascii="仿宋_GB2312" w:hAnsi="仿宋_GB2312" w:eastAsia="仿宋_GB2312" w:cs="仿宋_GB2312"/>
          <w:color w:val="auto"/>
          <w:sz w:val="28"/>
          <w:szCs w:val="28"/>
          <w:lang w:val="en-US" w:eastAsia="zh-CN"/>
        </w:rPr>
        <w:t>对</w:t>
      </w:r>
      <w:r>
        <w:rPr>
          <w:rFonts w:hint="eastAsia" w:ascii="仿宋_GB2312" w:hAnsi="仿宋_GB2312" w:eastAsia="仿宋_GB2312" w:cs="仿宋_GB2312"/>
          <w:color w:val="auto"/>
          <w:sz w:val="28"/>
          <w:szCs w:val="28"/>
          <w:lang w:eastAsia="zh-CN"/>
        </w:rPr>
        <w:t>外贸</w:t>
      </w:r>
      <w:r>
        <w:rPr>
          <w:rFonts w:hint="eastAsia" w:ascii="仿宋_GB2312" w:hAnsi="仿宋_GB2312" w:eastAsia="仿宋_GB2312" w:cs="仿宋_GB2312"/>
          <w:color w:val="auto"/>
          <w:sz w:val="28"/>
          <w:szCs w:val="28"/>
          <w:lang w:val="en-US" w:eastAsia="zh-CN"/>
        </w:rPr>
        <w:t>易</w:t>
      </w:r>
      <w:r>
        <w:rPr>
          <w:rFonts w:hint="eastAsia" w:ascii="仿宋_GB2312" w:hAnsi="仿宋_GB2312" w:eastAsia="仿宋_GB2312" w:cs="仿宋_GB2312"/>
          <w:color w:val="auto"/>
          <w:sz w:val="28"/>
          <w:szCs w:val="28"/>
          <w:lang w:eastAsia="zh-CN"/>
        </w:rPr>
        <w:t>的重要性</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28"/>
          <w:szCs w:val="28"/>
          <w:lang w:eastAsia="zh-CN"/>
        </w:rPr>
      </w:pPr>
      <w:r>
        <w:rPr>
          <w:rFonts w:hint="eastAsia" w:ascii="黑体" w:hAnsi="黑体" w:eastAsia="黑体" w:cs="黑体"/>
          <w:sz w:val="28"/>
          <w:szCs w:val="28"/>
        </w:rPr>
        <w:t>三、课程考核实施要求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rPr>
        <w:t>1</w:t>
      </w:r>
      <w:r>
        <w:rPr>
          <w:rFonts w:hint="eastAsia" w:ascii="仿宋_GB2312" w:hAnsi="仿宋_GB2312" w:eastAsia="仿宋_GB2312" w:cs="仿宋_GB2312"/>
          <w:b/>
          <w:bCs/>
          <w:color w:val="auto"/>
          <w:sz w:val="28"/>
          <w:szCs w:val="28"/>
          <w:lang w:eastAsia="zh-CN"/>
        </w:rPr>
        <w:t>、</w:t>
      </w:r>
      <w:r>
        <w:rPr>
          <w:rFonts w:hint="eastAsia" w:ascii="仿宋_GB2312" w:hAnsi="仿宋_GB2312" w:eastAsia="仿宋_GB2312" w:cs="仿宋_GB2312"/>
          <w:b/>
          <w:bCs/>
          <w:color w:val="auto"/>
          <w:sz w:val="28"/>
          <w:szCs w:val="28"/>
        </w:rPr>
        <w:t>考核方式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本命题考试为专升本学生适用，考核方式为闭卷</w:t>
      </w:r>
      <w:r>
        <w:rPr>
          <w:rFonts w:hint="eastAsia" w:ascii="仿宋_GB2312" w:hAnsi="仿宋_GB2312" w:eastAsia="仿宋_GB2312" w:cs="仿宋_GB2312"/>
          <w:color w:val="auto"/>
          <w:sz w:val="28"/>
          <w:szCs w:val="28"/>
          <w:lang w:val="en-US" w:eastAsia="zh-CN"/>
        </w:rPr>
        <w:t>笔试</w:t>
      </w:r>
      <w:r>
        <w:rPr>
          <w:rFonts w:hint="eastAsia" w:ascii="仿宋_GB2312" w:hAnsi="仿宋_GB2312" w:eastAsia="仿宋_GB2312" w:cs="仿宋_GB2312"/>
          <w:color w:val="auto"/>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val="en-US" w:eastAsia="zh-CN"/>
        </w:rPr>
        <w:t>2、</w:t>
      </w:r>
      <w:r>
        <w:rPr>
          <w:rFonts w:hint="eastAsia" w:ascii="仿宋_GB2312" w:hAnsi="仿宋_GB2312" w:eastAsia="仿宋_GB2312" w:cs="仿宋_GB2312"/>
          <w:b/>
          <w:bCs/>
          <w:color w:val="auto"/>
          <w:sz w:val="28"/>
          <w:szCs w:val="28"/>
        </w:rPr>
        <w:t>考试命题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（1）考核大纲命题内容覆盖教材的主要内容</w:t>
      </w:r>
      <w:r>
        <w:rPr>
          <w:rFonts w:hint="eastAsia" w:ascii="仿宋_GB2312" w:hAnsi="仿宋_GB2312" w:eastAsia="仿宋_GB2312" w:cs="仿宋_GB2312"/>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科目分值：满分值100分。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）考试题型：</w:t>
      </w:r>
      <w:r>
        <w:rPr>
          <w:rFonts w:hint="eastAsia" w:ascii="仿宋_GB2312" w:hAnsi="仿宋_GB2312" w:eastAsia="仿宋_GB2312" w:cs="仿宋_GB2312"/>
          <w:color w:val="auto"/>
          <w:sz w:val="28"/>
          <w:szCs w:val="28"/>
          <w:lang w:val="en-US" w:eastAsia="zh-CN"/>
        </w:rPr>
        <w:t>填空题、单</w:t>
      </w:r>
      <w:r>
        <w:rPr>
          <w:rFonts w:hint="eastAsia" w:ascii="仿宋_GB2312" w:hAnsi="仿宋_GB2312" w:eastAsia="仿宋_GB2312" w:cs="仿宋_GB2312"/>
          <w:color w:val="auto"/>
          <w:sz w:val="28"/>
          <w:szCs w:val="28"/>
        </w:rPr>
        <w:t>选题、判断题、简答题、案例分析、论述题等。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3、考试时长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2" w:firstLineChars="200"/>
        <w:jc w:val="both"/>
        <w:textAlignment w:val="auto"/>
        <w:rPr>
          <w:rFonts w:hint="default"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A部分《西方经济学》与B部分《国际贸易学》两部分考试时长共计150分钟。</w:t>
      </w: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黑体" w:hAnsi="黑体" w:eastAsia="黑体" w:cs="黑体"/>
          <w:sz w:val="28"/>
          <w:szCs w:val="28"/>
        </w:rPr>
      </w:pPr>
      <w:r>
        <w:rPr>
          <w:rFonts w:hint="eastAsia" w:ascii="黑体" w:hAnsi="黑体" w:eastAsia="黑体" w:cs="黑体"/>
          <w:sz w:val="28"/>
          <w:szCs w:val="28"/>
        </w:rPr>
        <w:t>四、教材和参考书</w:t>
      </w:r>
    </w:p>
    <w:p>
      <w:pPr>
        <w:pStyle w:val="2"/>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kern w:val="2"/>
          <w:sz w:val="28"/>
          <w:szCs w:val="28"/>
          <w:lang w:val="en-US" w:eastAsia="zh-CN"/>
        </w:rPr>
      </w:pPr>
      <w:r>
        <w:rPr>
          <w:rFonts w:hint="eastAsia" w:ascii="仿宋_GB2312" w:hAnsi="仿宋_GB2312" w:eastAsia="仿宋_GB2312" w:cs="仿宋_GB2312"/>
          <w:b/>
          <w:bCs/>
          <w:kern w:val="2"/>
          <w:sz w:val="28"/>
          <w:szCs w:val="28"/>
          <w:lang w:val="en-US" w:eastAsia="zh-CN"/>
        </w:rPr>
        <w:t>1、教材</w:t>
      </w:r>
    </w:p>
    <w:p>
      <w:pPr>
        <w:pStyle w:val="2"/>
        <w:keepNext w:val="0"/>
        <w:keepLines w:val="0"/>
        <w:pageBreakBefore w:val="0"/>
        <w:kinsoku/>
        <w:wordWrap/>
        <w:overflowPunct/>
        <w:topLinePunct w:val="0"/>
        <w:autoSpaceDE/>
        <w:autoSpaceDN/>
        <w:bidi w:val="0"/>
        <w:adjustRightInd/>
        <w:snapToGrid/>
        <w:spacing w:line="240" w:lineRule="auto"/>
        <w:ind w:left="0" w:leftChars="0" w:firstLine="536" w:firstLineChars="200"/>
        <w:jc w:val="both"/>
        <w:textAlignment w:val="auto"/>
        <w:rPr>
          <w:rFonts w:hint="eastAsia" w:ascii="仿宋_GB2312" w:hAnsi="仿宋_GB2312" w:eastAsia="仿宋_GB2312" w:cs="仿宋_GB2312"/>
          <w:spacing w:val="-6"/>
          <w:kern w:val="2"/>
          <w:sz w:val="28"/>
          <w:szCs w:val="28"/>
        </w:rPr>
      </w:pPr>
      <w:r>
        <w:rPr>
          <w:rFonts w:hint="eastAsia" w:ascii="仿宋_GB2312" w:hAnsi="仿宋_GB2312" w:eastAsia="仿宋_GB2312" w:cs="仿宋_GB2312"/>
          <w:spacing w:val="-6"/>
          <w:kern w:val="2"/>
          <w:sz w:val="28"/>
          <w:szCs w:val="28"/>
          <w:lang w:val="en-US" w:eastAsia="zh-Hans"/>
        </w:rPr>
        <w:t>王爱琴、袁庆远</w:t>
      </w:r>
      <w:r>
        <w:rPr>
          <w:rFonts w:hint="eastAsia" w:ascii="仿宋_GB2312" w:hAnsi="仿宋_GB2312" w:eastAsia="仿宋_GB2312" w:cs="仿宋_GB2312"/>
          <w:spacing w:val="-6"/>
          <w:kern w:val="2"/>
          <w:sz w:val="28"/>
          <w:szCs w:val="28"/>
          <w:lang w:eastAsia="zh-Hans"/>
        </w:rPr>
        <w:t>.</w:t>
      </w:r>
      <w:r>
        <w:rPr>
          <w:rFonts w:hint="eastAsia" w:ascii="仿宋_GB2312" w:hAnsi="仿宋_GB2312" w:eastAsia="仿宋_GB2312" w:cs="仿宋_GB2312"/>
          <w:spacing w:val="-6"/>
          <w:kern w:val="2"/>
          <w:sz w:val="28"/>
          <w:szCs w:val="28"/>
        </w:rPr>
        <w:t>国际贸易学[M].</w:t>
      </w:r>
      <w:r>
        <w:rPr>
          <w:rFonts w:hint="eastAsia" w:ascii="仿宋_GB2312" w:hAnsi="仿宋_GB2312" w:eastAsia="仿宋_GB2312" w:cs="仿宋_GB2312"/>
          <w:spacing w:val="-6"/>
          <w:kern w:val="2"/>
          <w:sz w:val="28"/>
          <w:szCs w:val="28"/>
          <w:lang w:val="en-US" w:eastAsia="zh-CN"/>
        </w:rPr>
        <w:t>北京</w:t>
      </w:r>
      <w:r>
        <w:rPr>
          <w:rFonts w:hint="eastAsia" w:ascii="仿宋_GB2312" w:hAnsi="仿宋_GB2312" w:eastAsia="仿宋_GB2312" w:cs="仿宋_GB2312"/>
          <w:spacing w:val="-6"/>
          <w:kern w:val="2"/>
          <w:sz w:val="28"/>
          <w:szCs w:val="28"/>
        </w:rPr>
        <w:t>：</w:t>
      </w:r>
      <w:r>
        <w:rPr>
          <w:rFonts w:hint="eastAsia" w:ascii="仿宋_GB2312" w:hAnsi="仿宋_GB2312" w:eastAsia="仿宋_GB2312" w:cs="仿宋_GB2312"/>
          <w:spacing w:val="-6"/>
          <w:kern w:val="2"/>
          <w:sz w:val="28"/>
          <w:szCs w:val="28"/>
          <w:lang w:val="en-US" w:eastAsia="zh-Hans"/>
        </w:rPr>
        <w:t>中国商务出版社</w:t>
      </w:r>
      <w:r>
        <w:rPr>
          <w:rFonts w:hint="eastAsia" w:ascii="仿宋_GB2312" w:hAnsi="仿宋_GB2312" w:eastAsia="仿宋_GB2312" w:cs="仿宋_GB2312"/>
          <w:spacing w:val="-6"/>
          <w:kern w:val="2"/>
          <w:sz w:val="28"/>
          <w:szCs w:val="28"/>
        </w:rPr>
        <w:t>，202</w:t>
      </w:r>
      <w:r>
        <w:rPr>
          <w:rFonts w:hint="eastAsia" w:ascii="仿宋_GB2312" w:hAnsi="仿宋_GB2312" w:eastAsia="仿宋_GB2312" w:cs="仿宋_GB2312"/>
          <w:spacing w:val="-6"/>
          <w:kern w:val="2"/>
          <w:sz w:val="28"/>
          <w:szCs w:val="28"/>
          <w:lang w:val="en-US" w:eastAsia="zh-CN"/>
        </w:rPr>
        <w:t>1</w:t>
      </w:r>
      <w:r>
        <w:rPr>
          <w:rFonts w:hint="eastAsia" w:ascii="仿宋_GB2312" w:hAnsi="仿宋_GB2312" w:eastAsia="仿宋_GB2312" w:cs="仿宋_GB2312"/>
          <w:spacing w:val="-6"/>
          <w:kern w:val="2"/>
          <w:sz w:val="28"/>
          <w:szCs w:val="28"/>
        </w:rPr>
        <w:t>年</w:t>
      </w:r>
    </w:p>
    <w:p>
      <w:pPr>
        <w:pStyle w:val="2"/>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lang w:eastAsia="zh-CN"/>
        </w:rPr>
        <w:t>金泽虎</w:t>
      </w:r>
      <w:r>
        <w:rPr>
          <w:rFonts w:hint="eastAsia" w:ascii="仿宋_GB2312" w:hAnsi="仿宋_GB2312" w:eastAsia="仿宋_GB2312" w:cs="仿宋_GB2312"/>
          <w:kern w:val="2"/>
          <w:sz w:val="28"/>
          <w:szCs w:val="28"/>
        </w:rPr>
        <w:t>.</w:t>
      </w:r>
      <w:r>
        <w:rPr>
          <w:rFonts w:hint="eastAsia" w:ascii="仿宋_GB2312" w:hAnsi="仿宋_GB2312" w:eastAsia="仿宋_GB2312" w:cs="仿宋_GB2312"/>
          <w:kern w:val="2"/>
          <w:sz w:val="28"/>
          <w:szCs w:val="28"/>
          <w:lang w:eastAsia="zh-CN"/>
        </w:rPr>
        <w:t>国际贸易学（</w:t>
      </w:r>
      <w:r>
        <w:rPr>
          <w:rFonts w:hint="eastAsia" w:ascii="仿宋_GB2312" w:hAnsi="仿宋_GB2312" w:eastAsia="仿宋_GB2312" w:cs="仿宋_GB2312"/>
          <w:kern w:val="2"/>
          <w:sz w:val="28"/>
          <w:szCs w:val="28"/>
          <w:lang w:val="en-US" w:eastAsia="zh-CN"/>
        </w:rPr>
        <w:t>第四版）</w:t>
      </w:r>
      <w:r>
        <w:rPr>
          <w:rFonts w:hint="eastAsia" w:ascii="仿宋_GB2312" w:hAnsi="仿宋_GB2312" w:eastAsia="仿宋_GB2312" w:cs="仿宋_GB2312"/>
          <w:kern w:val="2"/>
          <w:sz w:val="28"/>
          <w:szCs w:val="28"/>
        </w:rPr>
        <w:t>[M].</w:t>
      </w:r>
      <w:r>
        <w:rPr>
          <w:rFonts w:hint="eastAsia" w:ascii="仿宋_GB2312" w:hAnsi="仿宋_GB2312" w:eastAsia="仿宋_GB2312" w:cs="仿宋_GB2312"/>
          <w:kern w:val="2"/>
          <w:sz w:val="28"/>
          <w:szCs w:val="28"/>
          <w:lang w:val="en-US" w:eastAsia="zh-CN"/>
        </w:rPr>
        <w:t>北京</w:t>
      </w:r>
      <w:r>
        <w:rPr>
          <w:rFonts w:hint="eastAsia" w:ascii="仿宋_GB2312" w:hAnsi="仿宋_GB2312" w:eastAsia="仿宋_GB2312" w:cs="仿宋_GB2312"/>
          <w:kern w:val="2"/>
          <w:sz w:val="28"/>
          <w:szCs w:val="28"/>
        </w:rPr>
        <w:t>：</w:t>
      </w:r>
      <w:r>
        <w:rPr>
          <w:rFonts w:hint="eastAsia" w:ascii="仿宋_GB2312" w:hAnsi="仿宋_GB2312" w:eastAsia="仿宋_GB2312" w:cs="仿宋_GB2312"/>
          <w:kern w:val="2"/>
          <w:sz w:val="28"/>
          <w:szCs w:val="28"/>
          <w:lang w:eastAsia="zh-CN"/>
        </w:rPr>
        <w:t>中国人民大学出版社</w:t>
      </w:r>
      <w:r>
        <w:rPr>
          <w:rFonts w:hint="eastAsia" w:ascii="仿宋_GB2312" w:hAnsi="仿宋_GB2312" w:eastAsia="仿宋_GB2312" w:cs="仿宋_GB2312"/>
          <w:kern w:val="2"/>
          <w:sz w:val="28"/>
          <w:szCs w:val="28"/>
        </w:rPr>
        <w:t>，20</w:t>
      </w:r>
      <w:r>
        <w:rPr>
          <w:rFonts w:hint="eastAsia" w:ascii="仿宋_GB2312" w:hAnsi="仿宋_GB2312" w:eastAsia="仿宋_GB2312" w:cs="仿宋_GB2312"/>
          <w:kern w:val="2"/>
          <w:sz w:val="28"/>
          <w:szCs w:val="28"/>
          <w:lang w:val="en-US" w:eastAsia="zh-CN"/>
        </w:rPr>
        <w:t>22</w:t>
      </w:r>
      <w:r>
        <w:rPr>
          <w:rFonts w:hint="eastAsia" w:ascii="仿宋_GB2312" w:hAnsi="仿宋_GB2312" w:eastAsia="仿宋_GB2312" w:cs="仿宋_GB2312"/>
          <w:kern w:val="2"/>
          <w:sz w:val="28"/>
          <w:szCs w:val="28"/>
        </w:rPr>
        <w:t>年</w:t>
      </w:r>
    </w:p>
    <w:p>
      <w:pPr>
        <w:pStyle w:val="2"/>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kern w:val="2"/>
          <w:sz w:val="28"/>
          <w:szCs w:val="28"/>
          <w:lang w:val="en-US" w:eastAsia="zh-CN"/>
        </w:rPr>
      </w:pPr>
      <w:r>
        <w:rPr>
          <w:rFonts w:hint="eastAsia" w:ascii="仿宋_GB2312" w:hAnsi="仿宋_GB2312" w:eastAsia="仿宋_GB2312" w:cs="仿宋_GB2312"/>
          <w:b/>
          <w:bCs/>
          <w:kern w:val="2"/>
          <w:sz w:val="28"/>
          <w:szCs w:val="28"/>
          <w:lang w:val="en-US" w:eastAsia="zh-CN"/>
        </w:rPr>
        <w:t>2、参考书目</w:t>
      </w:r>
    </w:p>
    <w:p>
      <w:pPr>
        <w:pStyle w:val="2"/>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lang w:val="en-US" w:eastAsia="zh-CN"/>
        </w:rPr>
        <w:t>李丹</w:t>
      </w:r>
      <w:r>
        <w:rPr>
          <w:rFonts w:hint="eastAsia" w:ascii="仿宋_GB2312" w:hAnsi="仿宋_GB2312" w:eastAsia="仿宋_GB2312" w:cs="仿宋_GB2312"/>
          <w:kern w:val="2"/>
          <w:sz w:val="28"/>
          <w:szCs w:val="28"/>
          <w:lang w:val="en-US" w:eastAsia="zh-Hans"/>
        </w:rPr>
        <w:t>、</w:t>
      </w:r>
      <w:r>
        <w:rPr>
          <w:rFonts w:hint="eastAsia" w:ascii="仿宋_GB2312" w:hAnsi="仿宋_GB2312" w:eastAsia="仿宋_GB2312" w:cs="仿宋_GB2312"/>
          <w:kern w:val="2"/>
          <w:sz w:val="28"/>
          <w:szCs w:val="28"/>
          <w:lang w:val="en-US" w:eastAsia="zh-CN"/>
        </w:rPr>
        <w:t>崔日朗</w:t>
      </w:r>
      <w:r>
        <w:rPr>
          <w:rFonts w:hint="eastAsia" w:ascii="仿宋_GB2312" w:hAnsi="仿宋_GB2312" w:eastAsia="仿宋_GB2312" w:cs="仿宋_GB2312"/>
          <w:kern w:val="2"/>
          <w:sz w:val="28"/>
          <w:szCs w:val="28"/>
        </w:rPr>
        <w:t>.</w:t>
      </w:r>
      <w:r>
        <w:rPr>
          <w:rFonts w:hint="eastAsia" w:ascii="仿宋_GB2312" w:hAnsi="仿宋_GB2312" w:eastAsia="仿宋_GB2312" w:cs="仿宋_GB2312"/>
          <w:kern w:val="2"/>
          <w:sz w:val="28"/>
          <w:szCs w:val="28"/>
          <w:lang w:eastAsia="zh-CN"/>
        </w:rPr>
        <w:t>国际贸易（</w:t>
      </w:r>
      <w:r>
        <w:rPr>
          <w:rFonts w:hint="eastAsia" w:ascii="仿宋_GB2312" w:hAnsi="仿宋_GB2312" w:eastAsia="仿宋_GB2312" w:cs="仿宋_GB2312"/>
          <w:kern w:val="2"/>
          <w:sz w:val="28"/>
          <w:szCs w:val="28"/>
          <w:lang w:val="en-US" w:eastAsia="zh-CN"/>
        </w:rPr>
        <w:t>第三版</w:t>
      </w:r>
      <w:r>
        <w:rPr>
          <w:rFonts w:hint="eastAsia" w:ascii="仿宋_GB2312" w:hAnsi="仿宋_GB2312" w:eastAsia="仿宋_GB2312" w:cs="仿宋_GB2312"/>
          <w:kern w:val="2"/>
          <w:sz w:val="28"/>
          <w:szCs w:val="28"/>
          <w:lang w:eastAsia="zh-CN"/>
        </w:rPr>
        <w:t>）</w:t>
      </w:r>
      <w:r>
        <w:rPr>
          <w:rFonts w:hint="eastAsia" w:ascii="仿宋_GB2312" w:hAnsi="仿宋_GB2312" w:eastAsia="仿宋_GB2312" w:cs="仿宋_GB2312"/>
          <w:kern w:val="2"/>
          <w:sz w:val="28"/>
          <w:szCs w:val="28"/>
        </w:rPr>
        <w:t>[M].</w:t>
      </w:r>
      <w:r>
        <w:rPr>
          <w:rFonts w:hint="eastAsia" w:ascii="仿宋_GB2312" w:hAnsi="仿宋_GB2312" w:eastAsia="仿宋_GB2312" w:cs="仿宋_GB2312"/>
          <w:kern w:val="2"/>
          <w:sz w:val="28"/>
          <w:szCs w:val="28"/>
          <w:lang w:val="en-US" w:eastAsia="zh-CN"/>
        </w:rPr>
        <w:t>北京</w:t>
      </w:r>
      <w:r>
        <w:rPr>
          <w:rFonts w:hint="eastAsia" w:ascii="仿宋_GB2312" w:hAnsi="仿宋_GB2312" w:eastAsia="仿宋_GB2312" w:cs="仿宋_GB2312"/>
          <w:kern w:val="2"/>
          <w:sz w:val="28"/>
          <w:szCs w:val="28"/>
        </w:rPr>
        <w:t>：</w:t>
      </w:r>
      <w:r>
        <w:rPr>
          <w:rFonts w:hint="eastAsia" w:ascii="仿宋_GB2312" w:hAnsi="仿宋_GB2312" w:eastAsia="仿宋_GB2312" w:cs="仿宋_GB2312"/>
          <w:kern w:val="2"/>
          <w:sz w:val="28"/>
          <w:szCs w:val="28"/>
          <w:lang w:eastAsia="zh-CN"/>
        </w:rPr>
        <w:t>中国人民大学出版社</w:t>
      </w:r>
      <w:r>
        <w:rPr>
          <w:rFonts w:hint="eastAsia" w:ascii="仿宋_GB2312" w:hAnsi="仿宋_GB2312" w:eastAsia="仿宋_GB2312" w:cs="仿宋_GB2312"/>
          <w:kern w:val="2"/>
          <w:sz w:val="28"/>
          <w:szCs w:val="28"/>
        </w:rPr>
        <w:t>，20</w:t>
      </w:r>
      <w:r>
        <w:rPr>
          <w:rFonts w:hint="eastAsia" w:ascii="仿宋_GB2312" w:hAnsi="仿宋_GB2312" w:eastAsia="仿宋_GB2312" w:cs="仿宋_GB2312"/>
          <w:kern w:val="2"/>
          <w:sz w:val="28"/>
          <w:szCs w:val="28"/>
          <w:lang w:val="en-US" w:eastAsia="zh-CN"/>
        </w:rPr>
        <w:t>22</w:t>
      </w:r>
      <w:r>
        <w:rPr>
          <w:rFonts w:hint="eastAsia" w:ascii="仿宋_GB2312" w:hAnsi="仿宋_GB2312" w:eastAsia="仿宋_GB2312" w:cs="仿宋_GB2312"/>
          <w:kern w:val="2"/>
          <w:sz w:val="28"/>
          <w:szCs w:val="28"/>
        </w:rPr>
        <w:t>年</w:t>
      </w:r>
    </w:p>
    <w:p>
      <w:pPr>
        <w:pStyle w:val="2"/>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lang w:val="en-US" w:eastAsia="zh-CN"/>
        </w:rPr>
        <w:t>薛荣久</w:t>
      </w:r>
      <w:r>
        <w:rPr>
          <w:rFonts w:hint="eastAsia" w:ascii="仿宋_GB2312" w:hAnsi="仿宋_GB2312" w:eastAsia="仿宋_GB2312" w:cs="仿宋_GB2312"/>
          <w:kern w:val="2"/>
          <w:sz w:val="28"/>
          <w:szCs w:val="28"/>
        </w:rPr>
        <w:t>.</w:t>
      </w:r>
      <w:r>
        <w:rPr>
          <w:rFonts w:hint="eastAsia" w:ascii="仿宋_GB2312" w:hAnsi="仿宋_GB2312" w:eastAsia="仿宋_GB2312" w:cs="仿宋_GB2312"/>
          <w:kern w:val="2"/>
          <w:sz w:val="28"/>
          <w:szCs w:val="28"/>
          <w:lang w:val="en-US" w:eastAsia="zh-CN"/>
        </w:rPr>
        <w:t>国际贸易</w:t>
      </w:r>
      <w:r>
        <w:rPr>
          <w:rFonts w:hint="eastAsia" w:ascii="仿宋_GB2312" w:hAnsi="仿宋_GB2312" w:eastAsia="仿宋_GB2312" w:cs="仿宋_GB2312"/>
          <w:kern w:val="2"/>
          <w:sz w:val="28"/>
          <w:szCs w:val="28"/>
        </w:rPr>
        <w:t>（第</w:t>
      </w:r>
      <w:r>
        <w:rPr>
          <w:rFonts w:hint="eastAsia" w:ascii="仿宋_GB2312" w:hAnsi="仿宋_GB2312" w:eastAsia="仿宋_GB2312" w:cs="仿宋_GB2312"/>
          <w:kern w:val="2"/>
          <w:sz w:val="28"/>
          <w:szCs w:val="28"/>
          <w:lang w:val="en-US" w:eastAsia="zh-CN"/>
        </w:rPr>
        <w:t>七</w:t>
      </w:r>
      <w:r>
        <w:rPr>
          <w:rFonts w:hint="eastAsia" w:ascii="仿宋_GB2312" w:hAnsi="仿宋_GB2312" w:eastAsia="仿宋_GB2312" w:cs="仿宋_GB2312"/>
          <w:kern w:val="2"/>
          <w:sz w:val="28"/>
          <w:szCs w:val="28"/>
        </w:rPr>
        <w:t>版）[M].</w:t>
      </w:r>
      <w:r>
        <w:rPr>
          <w:rFonts w:hint="eastAsia" w:ascii="仿宋_GB2312" w:hAnsi="仿宋_GB2312" w:eastAsia="仿宋_GB2312" w:cs="仿宋_GB2312"/>
          <w:kern w:val="2"/>
          <w:sz w:val="28"/>
          <w:szCs w:val="28"/>
          <w:lang w:val="en-US" w:eastAsia="zh-CN"/>
        </w:rPr>
        <w:t>北京</w:t>
      </w:r>
      <w:r>
        <w:rPr>
          <w:rFonts w:hint="eastAsia" w:ascii="仿宋_GB2312" w:hAnsi="仿宋_GB2312" w:eastAsia="仿宋_GB2312" w:cs="仿宋_GB2312"/>
          <w:kern w:val="2"/>
          <w:sz w:val="28"/>
          <w:szCs w:val="28"/>
        </w:rPr>
        <w:t>：</w:t>
      </w:r>
      <w:r>
        <w:rPr>
          <w:rFonts w:hint="eastAsia" w:ascii="仿宋_GB2312" w:hAnsi="仿宋_GB2312" w:eastAsia="仿宋_GB2312" w:cs="仿宋_GB2312"/>
          <w:kern w:val="2"/>
          <w:sz w:val="28"/>
          <w:szCs w:val="28"/>
          <w:lang w:val="en-US" w:eastAsia="zh-CN"/>
        </w:rPr>
        <w:t>对外经贸大学</w:t>
      </w:r>
      <w:r>
        <w:rPr>
          <w:rFonts w:hint="eastAsia" w:ascii="仿宋_GB2312" w:hAnsi="仿宋_GB2312" w:eastAsia="仿宋_GB2312" w:cs="仿宋_GB2312"/>
          <w:kern w:val="2"/>
          <w:sz w:val="28"/>
          <w:szCs w:val="28"/>
        </w:rPr>
        <w:t>出版社，20</w:t>
      </w:r>
      <w:r>
        <w:rPr>
          <w:rFonts w:hint="eastAsia" w:ascii="仿宋_GB2312" w:hAnsi="仿宋_GB2312" w:eastAsia="仿宋_GB2312" w:cs="仿宋_GB2312"/>
          <w:kern w:val="2"/>
          <w:sz w:val="28"/>
          <w:szCs w:val="28"/>
          <w:lang w:val="en-US" w:eastAsia="zh-CN"/>
        </w:rPr>
        <w:t>20</w:t>
      </w:r>
      <w:r>
        <w:rPr>
          <w:rFonts w:hint="eastAsia" w:ascii="仿宋_GB2312" w:hAnsi="仿宋_GB2312" w:eastAsia="仿宋_GB2312" w:cs="仿宋_GB2312"/>
          <w:kern w:val="2"/>
          <w:sz w:val="28"/>
          <w:szCs w:val="28"/>
        </w:rPr>
        <w:t>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_GB2312" w:hAnsi="仿宋_GB2312" w:eastAsia="仿宋_GB2312" w:cs="仿宋_GB2312"/>
          <w:color w:val="auto"/>
          <w:sz w:val="28"/>
          <w:szCs w:val="28"/>
        </w:rPr>
      </w:pPr>
    </w:p>
    <w:p>
      <w:pPr>
        <w:keepNext w:val="0"/>
        <w:keepLines w:val="0"/>
        <w:pageBreakBefore w:val="0"/>
        <w:kinsoku/>
        <w:wordWrap/>
        <w:overflowPunct/>
        <w:topLinePunct w:val="0"/>
        <w:autoSpaceDE/>
        <w:autoSpaceDN/>
        <w:bidi w:val="0"/>
        <w:adjustRightInd/>
        <w:snapToGrid/>
        <w:spacing w:line="240" w:lineRule="auto"/>
        <w:ind w:left="0" w:leftChars="0" w:firstLine="562" w:firstLineChars="200"/>
        <w:jc w:val="both"/>
        <w:textAlignment w:val="auto"/>
        <w:rPr>
          <w:rFonts w:hint="eastAsia" w:ascii="仿宋_GB2312" w:hAnsi="仿宋_GB2312" w:eastAsia="仿宋_GB2312" w:cs="仿宋_GB2312"/>
          <w:b/>
          <w:bCs/>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0ED9EE"/>
    <w:multiLevelType w:val="singleLevel"/>
    <w:tmpl w:val="FE0ED9EE"/>
    <w:lvl w:ilvl="0" w:tentative="0">
      <w:start w:val="8"/>
      <w:numFmt w:val="decimal"/>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1YTUzOGFkYWY1Zjc1ZWMwODg5YzIwZDI5NjcxYTMifQ=="/>
    <w:docVar w:name="KSO_WPS_MARK_KEY" w:val="5ccf0137-7668-4557-aa4b-d382e3ba948e"/>
  </w:docVars>
  <w:rsids>
    <w:rsidRoot w:val="32A61C82"/>
    <w:rsid w:val="00087395"/>
    <w:rsid w:val="001C2BCD"/>
    <w:rsid w:val="001E7B1E"/>
    <w:rsid w:val="002B692E"/>
    <w:rsid w:val="004278BA"/>
    <w:rsid w:val="004870A9"/>
    <w:rsid w:val="00596E3B"/>
    <w:rsid w:val="005D7E02"/>
    <w:rsid w:val="006E363B"/>
    <w:rsid w:val="007830E3"/>
    <w:rsid w:val="008D5D26"/>
    <w:rsid w:val="008F2684"/>
    <w:rsid w:val="00A437EB"/>
    <w:rsid w:val="00AB11F3"/>
    <w:rsid w:val="00AB21AA"/>
    <w:rsid w:val="00B67850"/>
    <w:rsid w:val="00B81DE5"/>
    <w:rsid w:val="00BE09CF"/>
    <w:rsid w:val="00CE66DB"/>
    <w:rsid w:val="00F23EB4"/>
    <w:rsid w:val="02036974"/>
    <w:rsid w:val="02B11110"/>
    <w:rsid w:val="03C44108"/>
    <w:rsid w:val="0F3020DD"/>
    <w:rsid w:val="175E0B06"/>
    <w:rsid w:val="1C4878E2"/>
    <w:rsid w:val="245E4322"/>
    <w:rsid w:val="32A61C82"/>
    <w:rsid w:val="37F02367"/>
    <w:rsid w:val="50D643AB"/>
    <w:rsid w:val="51A4634C"/>
    <w:rsid w:val="611E4CE6"/>
    <w:rsid w:val="69532CB0"/>
    <w:rsid w:val="7861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80" w:lineRule="exact"/>
      <w:ind w:firstLine="564"/>
      <w:jc w:val="both"/>
    </w:pPr>
    <w:rPr>
      <w:rFonts w:ascii="仿宋" w:hAnsi="仿宋" w:eastAsia="仿宋" w:cs="Times New Roman"/>
      <w:kern w:val="2"/>
      <w:sz w:val="28"/>
      <w:szCs w:val="28"/>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hAnsi="Courier New"/>
      <w:kern w:val="0"/>
      <w:sz w:val="20"/>
      <w:szCs w:val="20"/>
    </w:rPr>
  </w:style>
  <w:style w:type="paragraph" w:styleId="3">
    <w:name w:val="Normal (Web)"/>
    <w:basedOn w:val="1"/>
    <w:autoRedefine/>
    <w:qFormat/>
    <w:uiPriority w:val="99"/>
    <w:pPr>
      <w:widowControl/>
      <w:spacing w:before="100" w:beforeAutospacing="1" w:after="100" w:afterAutospacing="1" w:line="240" w:lineRule="auto"/>
      <w:jc w:val="left"/>
    </w:pPr>
    <w:rPr>
      <w:rFonts w:ascii="宋体" w:hAnsi="宋体" w:eastAsia="宋体" w:cs="Calibri"/>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4980</Words>
  <Characters>5309</Characters>
  <Lines>19</Lines>
  <Paragraphs>5</Paragraphs>
  <TotalTime>5</TotalTime>
  <ScaleCrop>false</ScaleCrop>
  <LinksUpToDate>false</LinksUpToDate>
  <CharactersWithSpaces>5392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2024-03-08T11:49:00Z</dcterms:created>
  <dc:creator>胜哥</dc:creator>
  <cp:lastModifiedBy>胜哥</cp:lastModifiedBy>
  <cp:lastPrinted>2024-03-07T00:50:00Z</cp:lastPrinted>
  <dcterms:modified xsi:type="dcterms:W3CDTF">2024-03-14T00:51:36Z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5657B7A474CA4A68BF56DB51A682FBCB_13</vt:lpwstr>
  </property>
</Properties>
</file>